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臨時船舶建造調整法</w:t>
        <w:br/>
        <w:t>（昭和二十八年法律第百四十九号）</w:t>
      </w:r>
    </w:p>
    <w:p>
      <w:pPr>
        <w:pStyle w:val="Heading4"/>
      </w:pPr>
      <w:r>
        <w:t>第一条（目的）</w:t>
      </w:r>
    </w:p>
    <w:p>
      <w:r>
        <w:t>この法律は、臨時に船舶の建造についての調整を行い、もつてわが国の国際海運の健全な発展に資することを目的とする。</w:t>
      </w:r>
    </w:p>
    <w:p>
      <w:pPr>
        <w:pStyle w:val="Heading4"/>
      </w:pPr>
      <w:r>
        <w:t>第二条（建造の許可）</w:t>
      </w:r>
    </w:p>
    <w:p>
      <w:r>
        <w:t>造船事業者が、総トン数二千五百トン以上又は長さ九十メートル以上の鋼製の船舶であつて、船舶安全法（昭和八年法律第十一号）の規定により遠洋区域又は近海区域の航行区域を定めることのできる構造を有するもののうち政令で定めるものの建造（政令で定める重要な改造を含む。以下同じ。）をしようとするときは、その建造の着手前に国土交通大臣の許可を受けなければならない。</w:t>
      </w:r>
    </w:p>
    <w:p>
      <w:pPr>
        <w:pStyle w:val="Heading4"/>
      </w:pPr>
      <w:r>
        <w:t>第三条（許可の基準）</w:t>
      </w:r>
    </w:p>
    <w:p>
      <w:r>
        <w:t>国土交通大臣は、前条の許可の申請が、左の各号に掲げる基準に適合すると認めるときは、同条の許可をしなければならない。</w:t>
      </w:r>
    </w:p>
    <w:p>
      <w:pPr>
        <w:pStyle w:val="ListBullet"/>
        <w:ind w:left="880"/>
      </w:pPr>
      <w:r>
        <w:t>一</w:t>
        <w:br/>
        <w:t>当該船舶の建造によつてわが国の国際海運の健全な発展に支障を及ぼすおそれのないこと。</w:t>
      </w:r>
    </w:p>
    <w:p>
      <w:pPr>
        <w:pStyle w:val="ListBullet"/>
        <w:ind w:left="880"/>
      </w:pPr>
      <w:r>
        <w:t>二</w:t>
        <w:br/>
        <w:t>当該船舶を建造する造船事業者が、その船舶の建造に必要な技術及び設備を有していること。</w:t>
      </w:r>
    </w:p>
    <w:p>
      <w:pPr>
        <w:pStyle w:val="Heading5"/>
        <w:ind w:left="440"/>
      </w:pPr>
      <w:r>
        <w:t>２</w:t>
      </w:r>
    </w:p>
    <w:p>
      <w:pPr>
        <w:ind w:left="440"/>
      </w:pPr>
      <w:r>
        <w:t>前項第一号に掲げる基準の適用は、その判断の基礎となる事項につき、国土交通大臣が交通政策審議会に諮り決定し、これに従つてしなければならない。</w:t>
      </w:r>
    </w:p>
    <w:p>
      <w:pPr>
        <w:pStyle w:val="Heading5"/>
        <w:ind w:left="440"/>
      </w:pPr>
      <w:r>
        <w:t>３</w:t>
      </w:r>
    </w:p>
    <w:p>
      <w:pPr>
        <w:ind w:left="440"/>
      </w:pPr>
      <w:r>
        <w:t>前項の規定により国土交通大臣が決定した事項は、告示しなければならない。</w:t>
      </w:r>
    </w:p>
    <w:p>
      <w:pPr>
        <w:pStyle w:val="Heading4"/>
      </w:pPr>
      <w:r>
        <w:t>第四条（許可事項の変更）</w:t>
      </w:r>
    </w:p>
    <w:p>
      <w:r>
        <w:t>第二条の許可を受けた者が、当該許可に係る船舶の設計のうち国土交通省令で定める事項につき変更しようとするときは、国土交通大臣の承認を受けなければならない。</w:t>
      </w:r>
    </w:p>
    <w:p>
      <w:pPr>
        <w:pStyle w:val="Heading5"/>
        <w:ind w:left="440"/>
      </w:pPr>
      <w:r>
        <w:t>２</w:t>
      </w:r>
    </w:p>
    <w:p>
      <w:pPr>
        <w:ind w:left="440"/>
      </w:pPr>
      <w:r>
        <w:t>前条の規定は、前項の承認をする場合に準用する。</w:t>
      </w:r>
    </w:p>
    <w:p>
      <w:pPr>
        <w:pStyle w:val="Heading4"/>
      </w:pPr>
      <w:r>
        <w:t>第五条（権限の委任）</w:t>
      </w:r>
    </w:p>
    <w:p>
      <w:r>
        <w:t>この法律に規定する国土交通大臣の権限は、国土交通省令で定めるところにより、その一部を地方運輸局長（運輸監理部長を含む。）に委任することができる。</w:t>
      </w:r>
    </w:p>
    <w:p>
      <w:pPr>
        <w:pStyle w:val="Heading4"/>
      </w:pPr>
      <w:r>
        <w:t>第六条（意見の聴取）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つた後にしなければならない。</w:t>
      </w:r>
    </w:p>
    <w:p>
      <w:pPr>
        <w:pStyle w:val="Heading5"/>
        <w:ind w:left="440"/>
      </w:pPr>
      <w:r>
        <w:t>２</w:t>
      </w:r>
    </w:p>
    <w:p>
      <w:pPr>
        <w:ind w:left="440"/>
      </w:pPr>
      <w:r>
        <w:t>前項の意見の聴取に際しては、審査請求人及び利害関係人に対し、当該事案について証拠を提出し、及び意見を述べる機会を与えなければならない。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第七条（罰則）</w:t>
      </w:r>
    </w:p>
    <w:p>
      <w:r>
        <w:t>第二条の規定による許可を受けないで、船舶の建造に着手した者は、一年以下の懲役又は三十万円以下の罰金に処する。</w:t>
      </w:r>
    </w:p>
    <w:p>
      <w:pPr>
        <w:pStyle w:val="Heading5"/>
        <w:ind w:left="440"/>
      </w:pPr>
      <w:r>
        <w:t>２</w:t>
      </w:r>
    </w:p>
    <w:p>
      <w:pPr>
        <w:ind w:left="440"/>
      </w:pPr>
      <w:r>
        <w:t>第四条の規定による承認を受けないで変更した設計に基き、当該変更部分の工事に着手した者は、六月以下の懲役又は二十万円以下の罰金に処する。</w:t>
      </w:r>
    </w:p>
    <w:p>
      <w:pPr>
        <w:pStyle w:val="Heading4"/>
      </w:pPr>
      <w:r>
        <w:t>第八条</w:t>
      </w:r>
    </w:p>
    <w:p>
      <w:r>
        <w:t>法人の代表者又は法人若しくは人の代理人、使用人その他の従業者が、その法人又は人の業務に関し、前条の違反行為をしたときは、行為者を罰する外、その法人又は人に対して、同条の罰金刑を科する。</w:t>
      </w:r>
    </w:p>
    <w:p>
      <w:r>
        <w:br w:type="page"/>
      </w:r>
    </w:p>
    <w:p>
      <w:pPr>
        <w:pStyle w:val="Heading1"/>
      </w:pPr>
      <w:r>
        <w:t>附　則</w:t>
      </w:r>
    </w:p>
    <w:p>
      <w:pPr>
        <w:pStyle w:val="Heading5"/>
        <w:ind w:left="440"/>
      </w:pPr>
      <w:r>
        <w:t>１</w:t>
      </w:r>
    </w:p>
    <w:p>
      <w:pPr>
        <w:ind w:left="440"/>
      </w:pPr>
      <w:r>
        <w:t>この法律の施行期日は、公布の日から起算して三十日をこえない範囲内において政令で定める。</w:t>
      </w:r>
    </w:p>
    <w:p>
      <w:pPr>
        <w:pStyle w:val="Heading5"/>
        <w:ind w:left="440"/>
      </w:pPr>
      <w:r>
        <w:t>２</w:t>
      </w:r>
    </w:p>
    <w:p>
      <w:pPr>
        <w:ind w:left="440"/>
      </w:pPr>
      <w:r>
        <w:t>この法律は、国際海運に従事し得る船舶の建造の需要の動向及びその建造の能力並びに我が国の国際海運に必要な船舶の整備の状況に照らして、船舶の建造についての調整を行わなくとも我が国の国際海運の健全な発展に支障を生じないと認められるに至つたときは、速やかに廃止するものとする。</w:t>
      </w:r>
    </w:p>
    <w:p>
      <w:pPr>
        <w:pStyle w:val="Heading5"/>
        <w:ind w:left="440"/>
      </w:pPr>
      <w:r>
        <w:t>３</w:t>
      </w:r>
    </w:p>
    <w:p>
      <w:pPr>
        <w:ind w:left="440"/>
      </w:pPr>
      <w:r>
        <w:t>第二条の規定は、この法律の施行の際現に建造に着手している船舶については、適用しない。</w:t>
      </w:r>
    </w:p>
    <w:p>
      <w:pPr>
        <w:pStyle w:val="Heading5"/>
        <w:ind w:left="440"/>
      </w:pPr>
      <w:r>
        <w:t>４</w:t>
      </w:r>
    </w:p>
    <w:p>
      <w:pPr>
        <w:ind w:left="440"/>
      </w:pPr>
      <w:r>
        <w:t>臨時船舶管理法（昭和十二年法律第九十三号）は、廃止する。</w:t>
      </w:r>
    </w:p>
    <w:p>
      <w:r>
        <w:br w:type="page"/>
      </w:r>
    </w:p>
    <w:p>
      <w:pPr>
        <w:pStyle w:val="Heading1"/>
      </w:pPr>
      <w:r>
        <w:t>附則（昭和三一年三月二九日法律第三七号）</w:t>
      </w:r>
    </w:p>
    <w:p>
      <w:r>
        <w:t>この法律は、公布の日から施行する。</w:t>
      </w:r>
    </w:p>
    <w:p>
      <w:r>
        <w:br w:type="page"/>
      </w:r>
    </w:p>
    <w:p>
      <w:pPr>
        <w:pStyle w:val="Heading1"/>
      </w:pPr>
      <w:r>
        <w:t>附則（昭和三五年五月一四日法律第八一号）</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附則（昭和三九年六月九日法律第九九号）</w:t>
      </w:r>
    </w:p>
    <w:p>
      <w:r>
        <w:t>この法律は、公布の日から施行する。</w:t>
      </w:r>
    </w:p>
    <w:p>
      <w:r>
        <w:br w:type="page"/>
      </w:r>
    </w:p>
    <w:p>
      <w:pPr>
        <w:pStyle w:val="Heading1"/>
      </w:pPr>
      <w:r>
        <w:t>附則（昭和四三年六月一日法律第八七号）</w:t>
      </w:r>
    </w:p>
    <w:p>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１６</w:t>
      </w:r>
    </w:p>
    <w:p>
      <w:pPr>
        <w:ind w:left="440"/>
      </w:pPr>
      <w:r>
        <w:t>この法律〔中略〕の施行前にした行為に対する罰則の適用については、なお従前の例による。</w:t>
      </w:r>
    </w:p>
    <w:p>
      <w:r>
        <w:br w:type="page"/>
      </w:r>
    </w:p>
    <w:p>
      <w:pPr>
        <w:pStyle w:val="Heading1"/>
      </w:pPr>
      <w:r>
        <w:t>附則（昭和四七年一一月二〇日法律第一三〇号）</w:t>
      </w:r>
    </w:p>
    <w:p>
      <w:pPr>
        <w:pStyle w:val="Heading5"/>
        <w:ind w:left="440"/>
      </w:pPr>
      <w:r>
        <w:t>１</w:t>
      </w:r>
    </w:p>
    <w:p>
      <w:pPr>
        <w:ind w:left="440"/>
      </w:pPr>
      <w:r>
        <w:t>この法律は、公布の日から施行する。</w:t>
      </w:r>
    </w:p>
    <w:p>
      <w:pPr>
        <w:pStyle w:val="Heading5"/>
        <w:ind w:left="440"/>
      </w:pPr>
      <w:r>
        <w:t>２</w:t>
      </w:r>
    </w:p>
    <w:p>
      <w:pPr>
        <w:ind w:left="440"/>
      </w:pPr>
      <w:r>
        <w:t>第四条の規定は、この法律の施行前に改正前の第二条の許可を受けた船舶に係るこの法律の施行後における第四条に規定する変更で、変更後の船舶が改正後の第二条に規定する船舶に該当することとならないものについては、適用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附則（昭和四九年四月一五日法律第二九号）</w:t>
      </w:r>
    </w:p>
    <w:p>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臨時船舶建造調整法</w:t>
      <w:br/>
      <w:tab/>
      <w:t>（昭和二十八年法律第百四十九号）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臨時船舶建造調整法（昭和二十八年法律第百四十九号）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