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自動車抵当法</w:t>
        <w:br/>
        <w:t>（昭和二十六年法律第百八十七号）</w:t>
      </w:r>
    </w:p>
    <w:p>
      <w:pPr>
        <w:pStyle w:val="Heading4"/>
      </w:pPr>
      <w:r>
        <w:t>第一条（この法律の目的）</w:t>
      </w:r>
    </w:p>
    <w:p>
      <w:r>
        <w:t>この法律は、自動車に関する動産信用の増進により、自動車運送事業の健全な発達及び自動車による輸送の振興を図ることを目的とする。</w:t>
      </w:r>
    </w:p>
    <w:p>
      <w:pPr>
        <w:pStyle w:val="Heading4"/>
      </w:pPr>
      <w:r>
        <w:t>第二条（定義）</w:t>
      </w:r>
    </w:p>
    <w:p>
      <w:r>
        <w:t>この法律で「自動車」とは、道路運送車両法（昭和二十六年法律第百八十五号）による登録を受けた自動車をいう。</w:t>
        <w:br/>
        <w:t>但し、大型特殊自動車で建設機械抵当法（昭和二十九年法律第九十七号）第二条に規定する建設機械であるものを除く。</w:t>
      </w:r>
    </w:p>
    <w:p>
      <w:pPr>
        <w:pStyle w:val="Heading4"/>
      </w:pPr>
      <w:r>
        <w:t>第三条（抵当権の目的）</w:t>
      </w:r>
    </w:p>
    <w:p>
      <w:r>
        <w:t>自動車は、抵当権の目的とすることができる。</w:t>
      </w:r>
    </w:p>
    <w:p>
      <w:pPr>
        <w:pStyle w:val="Heading4"/>
      </w:pPr>
      <w:r>
        <w:t>第四条（抵当権の内容）</w:t>
      </w:r>
    </w:p>
    <w:p>
      <w:r>
        <w:t>抵当権者は、債務者又は第三者が占有を移さないで債務の担保に供した自動車（以下「抵当自動車」という。）につき、他の債権者に先だつて、自己の債権の弁済を受けることができる。</w:t>
      </w:r>
    </w:p>
    <w:p>
      <w:pPr>
        <w:pStyle w:val="Heading4"/>
      </w:pPr>
      <w:r>
        <w:t>第五条（対抗要件）</w:t>
      </w:r>
    </w:p>
    <w:p>
      <w:r>
        <w:t>自動車の抵当権の得喪及び変更は、道路運送車両法に規定する自動車登録ファイルに登録を受けなければ、第三者に対抗することができない。</w:t>
      </w:r>
    </w:p>
    <w:p>
      <w:pPr>
        <w:pStyle w:val="Heading5"/>
        <w:ind w:left="440"/>
      </w:pPr>
      <w:r>
        <w:t>２</w:t>
      </w:r>
    </w:p>
    <w:p>
      <w:pPr>
        <w:ind w:left="440"/>
      </w:pPr>
      <w:r>
        <w:t>前項の登録に関する事項は、政令で定める。</w:t>
      </w:r>
    </w:p>
    <w:p>
      <w:pPr>
        <w:pStyle w:val="Heading4"/>
      </w:pPr>
      <w:r>
        <w:t>第六条（抵当権の効力の及ぶ範囲）</w:t>
      </w:r>
    </w:p>
    <w:p>
      <w:r>
        <w:t>抵当権は、抵当自動車に付加して一体となつている物に及ぶ。</w:t>
        <w:br/>
        <w:t>ただし、設定行為に別段の定めがある場合及び債務者の行為について民法（明治二十九年法律第八十九号）第四百二十四条第三項に規定する詐害行為取消請求をすることができる場合は、この限りでない。</w:t>
      </w:r>
    </w:p>
    <w:p>
      <w:pPr>
        <w:pStyle w:val="Heading4"/>
      </w:pPr>
      <w:r>
        <w:t>第七条（不可分性）</w:t>
      </w:r>
    </w:p>
    <w:p>
      <w:r>
        <w:t>抵当権者は、債権の全部の弁済を受けるまでは、抵当自動車の全部につき、その権利を行使することができる。</w:t>
      </w:r>
    </w:p>
    <w:p>
      <w:pPr>
        <w:pStyle w:val="Heading4"/>
      </w:pPr>
      <w:r>
        <w:t>第八条（物上代位）</w:t>
      </w:r>
    </w:p>
    <w:p>
      <w:r>
        <w:t>抵当権は、抵当自動車の譲渡、貸付、滅失又はきヽ</w:t>
        <w:br/>
        <w:t>損によつて抵当権設定者が受けるべき金銭その他の物に対しても、これを行使することができる。</w:t>
        <w:br/>
        <w:t>この場合においては、その払渡又は引渡前に差押をしなければならない。</w:t>
      </w:r>
    </w:p>
    <w:p>
      <w:pPr>
        <w:pStyle w:val="Heading4"/>
      </w:pPr>
      <w:r>
        <w:t>第九条（物上保証人の求償権）</w:t>
      </w:r>
    </w:p>
    <w:p>
      <w:r>
        <w:t>他人の債務を担保するため抵当権を設定した者がその債務を弁済し、又は抵当権の実行によつて抵当自動車の所有権を失つたときは、民法に規定する保証債務に関する規定に従い、債務者に対して求償権を有する。</w:t>
      </w:r>
    </w:p>
    <w:p>
      <w:pPr>
        <w:pStyle w:val="Heading4"/>
      </w:pPr>
      <w:r>
        <w:t>第十条（抵当権の順位）</w:t>
      </w:r>
    </w:p>
    <w:p>
      <w:r>
        <w:t>数個の債権を担保するため同一の自動車につき抵当権を設定したときは、その抵当権の順位は、登録の前後による。</w:t>
      </w:r>
    </w:p>
    <w:p>
      <w:pPr>
        <w:pStyle w:val="Heading4"/>
      </w:pPr>
      <w:r>
        <w:t>第十一条（先取特権との順位）</w:t>
      </w:r>
    </w:p>
    <w:p>
      <w:r>
        <w:t>同一の自動車について抵当権及び先取特権が競合する場合には、抵当権は、民法第三百三十条第一項に規定する第一順位の先取特権と同順位とする。</w:t>
      </w:r>
    </w:p>
    <w:p>
      <w:pPr>
        <w:pStyle w:val="Heading4"/>
      </w:pPr>
      <w:r>
        <w:t>第十二条（担保される利息等）</w:t>
      </w:r>
    </w:p>
    <w:p>
      <w:r>
        <w:t>抵当権者が利息その他の定期金を請求する権利を有するときは、その満期となつた最後の二年分についてのみその抵当権を行使することができる。</w:t>
      </w:r>
    </w:p>
    <w:p>
      <w:pPr>
        <w:pStyle w:val="Heading5"/>
        <w:ind w:left="440"/>
      </w:pPr>
      <w:r>
        <w:t>２</w:t>
      </w:r>
    </w:p>
    <w:p>
      <w:pPr>
        <w:ind w:left="440"/>
      </w:pPr>
      <w:r>
        <w:t>前項の規定は、抵当権者が債務の不履行によつて生じた損害の賠償を請求する権利を有する場合においてその最後の二年分についても適用する。</w:t>
        <w:br/>
        <w:t>但し、利息その他の定期金と通算して二年分をこえることができない。</w:t>
      </w:r>
    </w:p>
    <w:p>
      <w:pPr>
        <w:pStyle w:val="Heading4"/>
      </w:pPr>
      <w:r>
        <w:t>第十三条（代価弁済）</w:t>
      </w:r>
    </w:p>
    <w:p>
      <w:r>
        <w:t>抵当自動車を譲り受けた第三者が抵当権者の請求に応じてその代価を弁済したときは、抵当権は、その第三者のために消滅する。</w:t>
      </w:r>
    </w:p>
    <w:p>
      <w:pPr>
        <w:pStyle w:val="Heading4"/>
      </w:pPr>
      <w:r>
        <w:t>第十四条（第三取得者の費用償還請求権）</w:t>
      </w:r>
    </w:p>
    <w:p>
      <w:r>
        <w:t>抵当自動車を取得した第三者が抵当自動車につき必要費又は有益費を出したときは、民法第百九十六条の区別に従い、抵当自動車の代価をもつて最も先にその償還を受けることができる。</w:t>
      </w:r>
    </w:p>
    <w:p>
      <w:pPr>
        <w:pStyle w:val="Heading4"/>
      </w:pPr>
      <w:r>
        <w:t>第十五条（一般財産からの弁済）</w:t>
      </w:r>
    </w:p>
    <w:p>
      <w:r>
        <w:t>抵当権者は、抵当自動車の代価で弁済を受けない債権の部分についてのみ他の財産から弁済を受けることができる。</w:t>
      </w:r>
    </w:p>
    <w:p>
      <w:pPr>
        <w:pStyle w:val="Heading5"/>
        <w:ind w:left="440"/>
      </w:pPr>
      <w:r>
        <w:t>２</w:t>
      </w:r>
    </w:p>
    <w:p>
      <w:pPr>
        <w:ind w:left="440"/>
      </w:pPr>
      <w:r>
        <w:t>前項の規定は、抵当自動車の代価に先だつて他の財産の代価を配当すべき場合には、適用しない。</w:t>
      </w:r>
    </w:p>
    <w:p>
      <w:pPr>
        <w:pStyle w:val="Heading5"/>
        <w:ind w:left="440"/>
      </w:pPr>
      <w:r>
        <w:t>３</w:t>
      </w:r>
    </w:p>
    <w:p>
      <w:pPr>
        <w:ind w:left="440"/>
      </w:pPr>
      <w:r>
        <w:t>前項の場合において、抵当権者に第一項の規定による弁済を受けさせるため、他の債権者は、抵当権者に配当すべき金額の供託を請求することができる。</w:t>
      </w:r>
    </w:p>
    <w:p>
      <w:pPr>
        <w:pStyle w:val="Heading4"/>
      </w:pPr>
      <w:r>
        <w:t>第十六条（抵当権者に対する通知）</w:t>
      </w:r>
    </w:p>
    <w:p>
      <w:r>
        <w:t>国土交通大臣は、抵当自動車について道路運送車両法第十五条の規定による永久抹消登録、同法第十五条の二第二項の規定による輸出抹消仮登録又は同法第十六条第一項の申請に基づく一時抹消登録をしたときは、遅滞なく、抵当権者に通知しなければならない。</w:t>
        <w:br/>
        <w:t>同法第十五条の二第一項の規定による輸出抹消仮登録の申請又は同法第十六条第一項の規定による一時抹消登録の申請を受理したときも同様である。</w:t>
      </w:r>
    </w:p>
    <w:p>
      <w:pPr>
        <w:pStyle w:val="Heading4"/>
      </w:pPr>
      <w:r>
        <w:t>第十七条（抵当権の実行）</w:t>
      </w:r>
    </w:p>
    <w:p>
      <w:r>
        <w:t>抵当権者は、前条後段の通知を受けたときは、その自動車に対して、直ちに、その権利を実行することができる。</w:t>
      </w:r>
    </w:p>
    <w:p>
      <w:pPr>
        <w:pStyle w:val="Heading5"/>
        <w:ind w:left="440"/>
      </w:pPr>
      <w:r>
        <w:t>２</w:t>
      </w:r>
    </w:p>
    <w:p>
      <w:pPr>
        <w:ind w:left="440"/>
      </w:pPr>
      <w:r>
        <w:t>前項の規定により抵当権を実行しようとするときは、抵当権者は、前条後段の通知を受けた日から三箇月以内に、その手続をしなければならない。</w:t>
      </w:r>
    </w:p>
    <w:p>
      <w:pPr>
        <w:pStyle w:val="Heading5"/>
        <w:ind w:left="440"/>
      </w:pPr>
      <w:r>
        <w:t>３</w:t>
      </w:r>
    </w:p>
    <w:p>
      <w:pPr>
        <w:ind w:left="440"/>
      </w:pPr>
      <w:r>
        <w:t>国土交通大臣は、前項の規定により抵当権の実行の手続をすることができる期間内及び抵当権の実行の終わるまでの期間内は、第一項の自動車について道路運送車両法第十五条の二第二項の規定による輸出抹消仮登録及び同法第十六条第一項の申請に基づく一時抹消登録をすることができない。</w:t>
      </w:r>
    </w:p>
    <w:p>
      <w:pPr>
        <w:pStyle w:val="Heading5"/>
        <w:ind w:left="440"/>
      </w:pPr>
      <w:r>
        <w:t>４</w:t>
      </w:r>
    </w:p>
    <w:p>
      <w:pPr>
        <w:ind w:left="440"/>
      </w:pPr>
      <w:r>
        <w:t>買受人が代金を納付したときは、第一項の自動車について道路運送車両法第十五条の二第一項の規定による輸出抹消仮登録の申請又は同法第十六条第一項の規定による一時抹消登録の申請がなかつたものとみなす。</w:t>
      </w:r>
    </w:p>
    <w:p>
      <w:pPr>
        <w:pStyle w:val="Heading4"/>
      </w:pPr>
      <w:r>
        <w:t>第十八条（時効による消滅）</w:t>
      </w:r>
    </w:p>
    <w:p>
      <w:r>
        <w:t>抵当権は、債務者及び抵当権設定者に対しては、その担保する債権と同時でなければ、時効によつて消滅しない。</w:t>
      </w:r>
    </w:p>
    <w:p>
      <w:pPr>
        <w:pStyle w:val="Heading4"/>
      </w:pPr>
      <w:r>
        <w:t>第十九条</w:t>
      </w:r>
    </w:p>
    <w:p>
      <w:r>
        <w:t>債務者又は抵当権設定者以外の者が抵当自動車につき取得時効に必要な条件を具備した占有をしたときは、抵当権は、これによつて消滅する。</w:t>
      </w:r>
    </w:p>
    <w:p>
      <w:pPr>
        <w:pStyle w:val="Heading4"/>
      </w:pPr>
      <w:r>
        <w:t>第十九条の二（根抵当権）</w:t>
      </w:r>
    </w:p>
    <w:p>
      <w:r>
        <w:t>抵当権は、設定行為をもつて定めるところにより、一定の範囲に属する不特定の債権を極度額の限度において担保するためにも設定することができる。</w:t>
      </w:r>
    </w:p>
    <w:p>
      <w:pPr>
        <w:pStyle w:val="Heading5"/>
        <w:ind w:left="440"/>
      </w:pPr>
      <w:r>
        <w:t>２</w:t>
      </w:r>
    </w:p>
    <w:p>
      <w:pPr>
        <w:ind w:left="440"/>
      </w:pPr>
      <w:r>
        <w:t>民法第三百九十八条の二第二項及び第三項、第三百九十八条の三から第三百九十八条の十まで、第三百九十八条の十二第一項、第三百九十八条の十三、第三百九十八条の十四第一項本文及び第二項並びに第三百九十八条の十九から第三百九十八条の二十二までの規定は、前項の抵当権について準用する。</w:t>
      </w:r>
    </w:p>
    <w:p>
      <w:pPr>
        <w:pStyle w:val="Heading4"/>
      </w:pPr>
      <w:r>
        <w:t>第二十条（質権設定の禁止）</w:t>
      </w:r>
    </w:p>
    <w:p>
      <w:r>
        <w:t>自動車は、質権の目的とすることができない。</w:t>
      </w:r>
    </w:p>
    <w:p>
      <w:pPr>
        <w:pStyle w:val="Heading4"/>
      </w:pPr>
      <w:r>
        <w:t>第二十一条（行政手続法の適用除外）</w:t>
      </w:r>
    </w:p>
    <w:p>
      <w:r>
        <w:t>自動車の抵当権の登録については、行政手続法（平成五年法律第八十八号）第二章及び第三章の規定は、適用しない。</w:t>
      </w:r>
    </w:p>
    <w:p>
      <w:r>
        <w:br w:type="page"/>
      </w:r>
    </w:p>
    <w:p>
      <w:pPr>
        <w:pStyle w:val="Heading1"/>
      </w:pPr>
      <w:r>
        <w:t>附　則</w:t>
      </w:r>
    </w:p>
    <w:p>
      <w:r>
        <w:t>この法律は、昭和二十七年四月一日から施行する。</w:t>
      </w:r>
    </w:p>
    <w:p>
      <w:r>
        <w:br w:type="page"/>
      </w:r>
    </w:p>
    <w:p>
      <w:pPr>
        <w:pStyle w:val="Heading1"/>
      </w:pPr>
      <w:r>
        <w:t>附則（昭和二七年四月二八日法律第一〇二号）</w:t>
      </w:r>
    </w:p>
    <w:p>
      <w:pPr>
        <w:pStyle w:val="Heading5"/>
        <w:ind w:left="440"/>
      </w:pPr>
      <w:r>
        <w:t>１</w:t>
      </w:r>
    </w:p>
    <w:p>
      <w:pPr>
        <w:ind w:left="440"/>
      </w:pPr>
      <w:r>
        <w:t>この法律は、公布の日から施行する。</w:t>
      </w:r>
    </w:p>
    <w:p>
      <w:r>
        <w:br w:type="page"/>
      </w:r>
    </w:p>
    <w:p>
      <w:pPr>
        <w:pStyle w:val="Heading1"/>
      </w:pPr>
      <w:r>
        <w:t>附則（昭和二九年五月一五日法律第九七号）</w:t>
      </w:r>
    </w:p>
    <w:p>
      <w:pPr>
        <w:pStyle w:val="Heading5"/>
        <w:ind w:left="440"/>
      </w:pPr>
      <w:r>
        <w:t>１</w:t>
      </w:r>
    </w:p>
    <w:p>
      <w:pPr>
        <w:ind w:left="440"/>
      </w:pPr>
      <w:r>
        <w:t>この法律の施行期日は、公布の日から起算して六箇月をこえない範囲内において、政令で定める。</w:t>
      </w:r>
    </w:p>
    <w:p>
      <w:r>
        <w:br w:type="page"/>
      </w:r>
    </w:p>
    <w:p>
      <w:pPr>
        <w:pStyle w:val="Heading1"/>
      </w:pPr>
      <w:r>
        <w:t>附則（昭和三八年七月一五日法律第一四九号）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br/>
        <w:t>ただし、改正前の民法（以下「旧法」という。）の規定により生じた効力を妨げない。</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br/>
        <w:t>この場合においては、後順位の抵当権者その他の第三者の承諾を得ることを要しない。</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br/>
        <w:t>この場合においては、旧根抵当権を目的とする権利は、当該増額に係る部分について消滅する。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br/>
        <w:t>ただし、その定めにより元本が確定することとなる日がこの法律の施行の日から起算して五年を経過する日より後であるときは、当該定め又はその登記は、当該五年を経過する日をもつて同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第二十三条（自動車抵当法の一部改正に伴う経過措置）</w:t>
      </w:r>
    </w:p>
    <w:p>
      <w:r>
        <w:t>前条の規定による自動車抵当法の一部改正に伴う経過措置については、附則第二条、附則第三条第一項、附則第四条から附則第七条まで、附則第十条及び附則第十一条の規定の例による。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br/>
        <w:br/>
        <w:br/>
        <w:t>公布の日から起算して二年六月を超えない範囲内において政令で定める日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自動車抵当法</w:t>
      <w:br/>
      <w:tab/>
      <w:t>（昭和二十六年法律第百八十七号）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自動車抵当法（昭和二十六年法律第百八十七号）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