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自殺総合対策会議令</w:t>
        <w:br/>
        <w:t>（平成十八年政令第三百四十四号）</w:t>
      </w:r>
    </w:p>
    <w:p>
      <w:pPr>
        <w:pStyle w:val="Heading4"/>
      </w:pPr>
      <w:r>
        <w:t>第一条（会長）</w:t>
      </w:r>
    </w:p>
    <w:p>
      <w:r>
        <w:t>会長は、会務を総理する。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会長に事故があるときは、会長があらかじめ指名する委員が、その職務を代理する。</w:t>
      </w:r>
    </w:p>
    <w:p>
      <w:pPr>
        <w:pStyle w:val="Heading4"/>
      </w:pPr>
      <w:r>
        <w:t>第二条（庶務）</w:t>
      </w:r>
    </w:p>
    <w:p>
      <w:r>
        <w:t>自殺総合対策会議の庶務は、厚生労働省社会・援護局総務課において処理する。</w:t>
      </w:r>
    </w:p>
    <w:p>
      <w:pPr>
        <w:pStyle w:val="Heading4"/>
      </w:pPr>
      <w:r>
        <w:t>第三条（雑則）</w:t>
      </w:r>
    </w:p>
    <w:p>
      <w:r>
        <w:t>前二条に定めるもののほか、議事の手続その他自殺総合対策会議の運営に関し必要な事項は、会長が自殺総合対策会議に諮って定める。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この政令は、自殺対策基本法の施行の日（平成十八年十月二十八日）から施行する。</w:t>
      </w:r>
    </w:p>
    <w:p>
      <w:r>
        <w:br w:type="page"/>
      </w:r>
    </w:p>
    <w:p>
      <w:pPr>
        <w:pStyle w:val="Heading1"/>
      </w:pPr>
      <w:r>
        <w:t>附則（平成二八年三月三一日政令第一〇三号）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この政令は、平成二十八年四月一日から施行する。</w:t>
      </w:r>
    </w:p>
    <w:p>
      <w:r>
        <w:br w:type="page"/>
      </w:r>
    </w:p>
    <w:p>
      <w:pPr>
        <w:pStyle w:val="Heading1"/>
      </w:pPr>
      <w:r>
        <w:t>附則（平成二九年三月三一日政令第七六号）</w:t>
      </w:r>
    </w:p>
    <w:p>
      <w:r>
        <w:t>この政令は、平成二十九年四月一日から施行する。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自殺総合対策会議令</w:t>
      <w:br/>
      <w:tab/>
      <w:t>（平成十八年政令第三百四十四号）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自殺総合対策会議令（平成十八年政令第三百四十四号）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