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自転車活用推進本部令</w:t>
        <w:br/>
        <w:t>（平成二十九年政令第百四十二号）</w:t>
      </w:r>
    </w:p>
    <w:p>
      <w:pPr>
        <w:pStyle w:val="Heading4"/>
      </w:pPr>
      <w:r>
        <w:t>第一条（自転車活用推進本部長）</w:t>
      </w:r>
    </w:p>
    <w:p>
      <w:r>
        <w:t>自転車活用推進本部長は、自転車活用推進本部（以下「本部」という。）の事務を総括する。</w:t>
      </w:r>
    </w:p>
    <w:p>
      <w:pPr>
        <w:pStyle w:val="Heading4"/>
      </w:pPr>
      <w:r>
        <w:t>第二条（資料の提出等の要求）</w:t>
      </w:r>
    </w:p>
    <w:p>
      <w:r>
        <w:t>本部は、その所掌事務を遂行するため必要があると認めるときは、関係行政機関の長に対し、資料の提出、意見の開陳、説明その他必要な協力を求めることができる。</w:t>
      </w:r>
    </w:p>
    <w:p>
      <w:pPr>
        <w:pStyle w:val="Heading4"/>
      </w:pPr>
      <w:r>
        <w:t>第三条（庶務）</w:t>
      </w:r>
    </w:p>
    <w:p>
      <w:r>
        <w:t>本部の庶務は、国土交通省道路局参事官において処理する。</w:t>
      </w:r>
    </w:p>
    <w:p>
      <w:pPr>
        <w:pStyle w:val="Heading4"/>
      </w:pPr>
      <w:r>
        <w:t>第四条（本部の運営）</w:t>
      </w:r>
    </w:p>
    <w:p>
      <w:r>
        <w:t>この政令に定めるもののほか、本部の運営に関し必要な事項は、自転車活用推進本部長が本部に諮って定める。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この政令は、自転車活用推進法の施行の日（平成二十九年五月一日）から施行する。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自転車活用推進本部令</w:t>
      <w:br/>
      <w:tab/>
      <w:t>（平成二十九年政令第百四十二号）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自転車活用推進本部令（平成二十九年政令第百四十二号）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