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自転車道の整備等に関する法律</w:t>
        <w:br/>
        <w:t>（昭和四十五年法律第十六号）</w:t>
      </w:r>
    </w:p>
    <w:p>
      <w:pPr>
        <w:pStyle w:val="Heading4"/>
      </w:pPr>
      <w:r>
        <w:t>第一条（目的）</w:t>
      </w:r>
    </w:p>
    <w:p>
      <w:r>
        <w:t>この法律は、わが国における自転車の利用状況にかんがみ、自転車が安全に通行することができる自転車道の整備等に関し必要な措置を定め、もつて交通事故の防止と交通の円滑化に寄与し、あわせて自転車の利用による国民の心身の健全な発達に資することを目的とする。</w:t>
      </w:r>
    </w:p>
    <w:p>
      <w:pPr>
        <w:pStyle w:val="Heading4"/>
      </w:pPr>
      <w:r>
        <w:t>第二条（定義）</w:t>
      </w:r>
    </w:p>
    <w:p>
      <w:r>
        <w:t>この法律において「道路」とは、道路法（昭和二十七年法律第百八十号）による道路をいう。</w:t>
      </w:r>
    </w:p>
    <w:p>
      <w:pPr>
        <w:pStyle w:val="Heading5"/>
        <w:ind w:left="440"/>
      </w:pPr>
      <w:r>
        <w:t>２</w:t>
      </w:r>
    </w:p>
    <w:p>
      <w:pPr>
        <w:ind w:left="440"/>
      </w:pPr>
      <w:r>
        <w:t>この法律において「道路管理者」とは、道路法第十八条第一項に規定する道路管理者（同法第八十八条第二項の規定により国土交通大臣が改築を行う道路にあつては、国土交通大臣）をいう。</w:t>
      </w:r>
    </w:p>
    <w:p>
      <w:pPr>
        <w:pStyle w:val="Heading5"/>
        <w:ind w:left="440"/>
      </w:pPr>
      <w:r>
        <w:t>３</w:t>
      </w:r>
    </w:p>
    <w:p>
      <w:pPr>
        <w:ind w:left="440"/>
      </w:pPr>
      <w:r>
        <w:t>この法律において「自転車道」とは、次に掲げるものをいう。</w:t>
      </w:r>
    </w:p>
    <w:p>
      <w:pPr>
        <w:pStyle w:val="ListBullet"/>
        <w:ind w:left="880"/>
      </w:pPr>
      <w:r>
        <w:t>一</w:t>
        <w:br/>
        <w:t>もつぱら自転車の通行の用に供することを目的とする道路又は道路の部分</w:t>
      </w:r>
    </w:p>
    <w:p>
      <w:pPr>
        <w:pStyle w:val="ListBullet"/>
        <w:ind w:left="880"/>
      </w:pPr>
      <w:r>
        <w:t>二</w:t>
        <w:br/>
        <w:t>自転車及び歩行者の共通の通行の用に供することを目的とする道路又は道路の部分</w:t>
      </w:r>
    </w:p>
    <w:p>
      <w:pPr>
        <w:pStyle w:val="Heading5"/>
        <w:ind w:left="440"/>
      </w:pPr>
      <w:r>
        <w:t>４</w:t>
      </w:r>
    </w:p>
    <w:p>
      <w:pPr>
        <w:ind w:left="440"/>
      </w:pPr>
      <w:r>
        <w:t>この法律において「自転車道整備事業」とは、自転車道の設置に関する事業をいう。</w:t>
      </w:r>
    </w:p>
    <w:p>
      <w:pPr>
        <w:pStyle w:val="Heading4"/>
      </w:pPr>
      <w:r>
        <w:t>第三条（国及び地方公共団体の責務）</w:t>
      </w:r>
    </w:p>
    <w:p>
      <w:r>
        <w:t>国及び地方公共団体は、第一条に規定する目的を達成するため、自転車道整備事業が有効かつ適切に実施されるよう必要な配慮をしなければならない。</w:t>
      </w:r>
    </w:p>
    <w:p>
      <w:pPr>
        <w:pStyle w:val="Heading4"/>
      </w:pPr>
      <w:r>
        <w:t>第四条（自転車道整備事業の実施）</w:t>
      </w:r>
    </w:p>
    <w:p>
      <w:r>
        <w:t>道路管理者は、道路法第三十条第一項の政令又は同条第二項の政令及び同条第三項の規定に基づく条例で定める基準に従い、自転車及び自動車の交通量、道路における交通事故の発生状況その他の事情を考慮して自転車道整備事業を実施するよう努めなければならない。</w:t>
      </w:r>
    </w:p>
    <w:p>
      <w:pPr>
        <w:pStyle w:val="Heading4"/>
      </w:pPr>
      <w:r>
        <w:t>第五条（自転車道の計画的整備）</w:t>
      </w:r>
    </w:p>
    <w:p>
      <w:r>
        <w:t>社会資本整備重点計画法（平成十五年法律第二十号）第二条第一項に規定する社会資本整備重点計画は、自転車道の計画的整備が促進されるよう配慮して定められなければならない。</w:t>
      </w:r>
    </w:p>
    <w:p>
      <w:pPr>
        <w:pStyle w:val="Heading4"/>
      </w:pPr>
      <w:r>
        <w:t>第六条（自転車専用道路等の設置）</w:t>
      </w:r>
    </w:p>
    <w:p>
      <w:r>
        <w:t>道路管理者は、自転車の通行の安全を確保し、あわせて自転車の利用による国民の心身の健全な発達に資するため、道路法第四十八条の十三第一項の規定による指定をした道路又は同条第二項の規定による指定をした道路を設置するよう努めなければならない。</w:t>
      </w:r>
    </w:p>
    <w:p>
      <w:pPr>
        <w:pStyle w:val="Heading5"/>
        <w:ind w:left="440"/>
      </w:pPr>
      <w:r>
        <w:t>２</w:t>
      </w:r>
    </w:p>
    <w:p>
      <w:pPr>
        <w:ind w:left="440"/>
      </w:pPr>
      <w:r>
        <w:t>道路管理者が、河川法（昭和三十九年法律第百六十七号）第六条に規定する河川区域（同法第五十八条の二の規定により指定されたものを含む。）内の土地又は国有林野の管理経営に関する法律（昭和二十六年法律第二百四十六号）第二条第一項に規定する国有林野（以下この項において「国有林野」という。）である土地を利用して前項の道路を設置しようとする場合においては、河川又は国有林野の管理者は、河川又は国有林野の管理上支障のない範囲内において、その設置に協力するものとする。</w:t>
      </w:r>
    </w:p>
    <w:p>
      <w:pPr>
        <w:pStyle w:val="Heading5"/>
        <w:ind w:left="440"/>
      </w:pPr>
      <w:r>
        <w:t>３</w:t>
      </w:r>
    </w:p>
    <w:p>
      <w:pPr>
        <w:ind w:left="440"/>
      </w:pPr>
      <w:r>
        <w:t>国は、第一項の道路の設置の促進に資するため必要な財政上の措置その他の措置を講ずるよう努めなければならない。</w:t>
      </w:r>
    </w:p>
    <w:p>
      <w:pPr>
        <w:pStyle w:val="Heading4"/>
      </w:pPr>
      <w:r>
        <w:t>第七条（自転車の通行の安全を確保するための交通規制）</w:t>
      </w:r>
    </w:p>
    <w:p>
      <w:r>
        <w:t>都道府県公安委員会は、自転車道の整備と相まつて、自転車の通行の安全を確保するための計画的な交通規制の実施を図るものとする。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附則（昭和四六年四月一五日法律第四六号）</w:t>
      </w:r>
    </w:p>
    <w:p>
      <w:pPr>
        <w:pStyle w:val="Heading5"/>
        <w:ind w:left="440"/>
      </w:pPr>
      <w:r>
        <w:t>１</w:t>
      </w:r>
    </w:p>
    <w:p>
      <w:pPr>
        <w:ind w:left="440"/>
      </w:pPr>
      <w:r>
        <w:t>この法律は、公布の日から起算して八月をこえない範囲内において政令で定める日から施行する。</w:t>
      </w:r>
    </w:p>
    <w:p>
      <w:r>
        <w:br w:type="page"/>
      </w:r>
    </w:p>
    <w:p>
      <w:pPr>
        <w:pStyle w:val="Heading1"/>
      </w:pPr>
      <w:r>
        <w:t>附則（平成七年四月五日法律第六四号）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附則（平成一〇年一〇月一九日法律第一三五号）</w:t>
      </w:r>
    </w:p>
    <w:p>
      <w:pPr>
        <w:pStyle w:val="Heading4"/>
      </w:pPr>
      <w:r>
        <w:t>第一条（施行期日）</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第九十八条（自転車道の整備等に関する法律の一部改正に伴う調整規定）</w:t>
      </w:r>
    </w:p>
    <w:p>
      <w:r>
        <w:t>この法律の施行の日が地域の自主性及び自立性を高めるための改革の推進を図るための関係法律の整備に関する法律附則第一条第二号に掲げる規定の施行の日前である場合には、前条の規定は、適用しない。</w:t>
      </w:r>
    </w:p>
    <w:p>
      <w:pPr>
        <w:pStyle w:val="Heading5"/>
        <w:ind w:left="440"/>
      </w:pPr>
      <w:r>
        <w:t>２</w:t>
      </w:r>
    </w:p>
    <w:p>
      <w:pPr>
        <w:ind w:left="440"/>
      </w:pPr>
      <w:r>
        <w:t>前項の場合において、地域の自主性及び自立性を高めるための改革の推進を図るための関係法律の整備に関する法律附則第三十一条のうち自転車道の整備等に関する法律第四条の改正規定中「同条第三項の政令及び同条第四項」とあるのは、「同条第二項の政令及び同条第三項」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附則（平成二八年一二月一六日法律第一一三号）</w:t>
      </w:r>
    </w:p>
    <w:p>
      <w:pPr>
        <w:pStyle w:val="Heading4"/>
      </w:pPr>
      <w:r>
        <w:t>第一条（施行期日）</w:t>
      </w:r>
    </w:p>
    <w:p>
      <w:r>
        <w:t>この法律は、公布の日から起算して六月を超えない範囲内において政令で定める日から施行する。</w:t>
      </w:r>
    </w:p>
    <w:p>
      <w:pPr>
        <w:pStyle w:val="Heading4"/>
      </w:pPr>
      <w:r>
        <w:t>第二条（法制上の措置）</w:t>
      </w:r>
    </w:p>
    <w:p>
      <w:r>
        <w:t>政府は、自転車の活用の推進を担う行政組織の在り方について検討を加え、その結果に基づいて必要な法制上の措置を講ずるものとする。</w:t>
      </w:r>
    </w:p>
    <w:p>
      <w:pPr>
        <w:pStyle w:val="Heading4"/>
      </w:pPr>
      <w:r>
        <w:t>第三条（検討）</w:t>
      </w:r>
    </w:p>
    <w:p>
      <w:r>
        <w:t>政府は、自転車の運転に関し道路交通法に違反する行為への対応の在り方について検討を加え、その結果に基づいて必要な措置を講ずるものとする。</w:t>
      </w:r>
    </w:p>
    <w:p>
      <w:pPr>
        <w:pStyle w:val="Heading5"/>
        <w:ind w:left="440"/>
      </w:pPr>
      <w:r>
        <w:t>２</w:t>
      </w:r>
    </w:p>
    <w:p>
      <w:pPr>
        <w:ind w:left="440"/>
      </w:pPr>
      <w:r>
        <w:t>政府は、自転車の運行によって人の生命又は身体が害された場合における損害賠償を保障する制度について検討を加え、その結果に基づいて必要な措置を講ずるものとする。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自転車道の整備等に関する法律</w:t>
      <w:br/>
      <w:tab/>
      <w:t>（昭和四十五年法律第十六号）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自転車道の整備等に関する法律（昭和四十五年法律第十六号）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