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船員に関する障害者の雇用の促進等に関する法律施行規則</w:t>
        <w:br/>
        <w:t>（平成二十八年国土交通省令第二十二号）</w:t>
      </w:r>
    </w:p>
    <w:p>
      <w:pPr>
        <w:pStyle w:val="Heading4"/>
      </w:pPr>
      <w:r>
        <w:t>第一条（準用）</w:t>
      </w:r>
    </w:p>
    <w:p>
      <w:r>
        <w:t>船員に関する雇用の分野における男女の均等な機会及び待遇の確保等に関する法律施行規則（昭和六十一年運輸省令第一号）第五条から第十三条までの規定は、障害者の雇用の促進等に関する法律（昭和三十五年法律第百二十三号。以下「法」という。）第八十五条の二第二項の規定により読み替えて適用する法第七十四条の七第一項の規定により指名を受けて調停員が行う調停について準用する。</w:t>
        <w:br/>
        <w:t>この場合において、同令第五条第一項中「第七条及び第十四条」とあるのは「船員に関する障害者の雇用の促進等に関する法律施行規則（以下「船員障害者雇用促進法施行規則」という。</w:t>
        <w:br/>
        <w:t>）第一条において準用する第七条」と、「法第三十一条第三項」とあるのは「障害者の雇用の促進等に関する法律（昭和三十五年法律第百二十三号。</w:t>
        <w:br/>
        <w:t>以下「障害者雇用促進法」という。</w:t>
        <w:br/>
        <w:t>）第八十五条の二第三項において準用する法第三十一条第三項」と、同項及び同令第七条中「法第三十一条第一項の規定により読み替えて適用される法第十八条第一項」とあるのは「障害者雇用促進法第七十四条の七第一項」と、同項及び同令第六条（見出しを含む。</w:t>
        <w:br/>
        <w:t>）中「機会均等調停会議」とあるのは「障害者雇用調停会議」と、同令第九条第一項中「法第三十一条第五項の規定により読み替えて準用する法第二十条」とあるのは「障害者雇用促進法第八十五条の二第三項において準用する法第二十条」と、同令第十条中「関係当事者と同一の事業場に雇用される労働者」とあるのは「障害者の医療に関する専門的知識を有する者」と、同令第十一条中「第六条第一項及び第二項」とあるのは「船員障害者雇用促進法施行規則第一条において準用する第六条第一項及び第二項」と、「第九条」とあるのは「船員障害者雇用促進法施行規則第一条において準用する第九条」と、同令第十二条第一項中「法第三十一条第五項の規定により読み替えて準用する法第二十一条」とあるのは「障害者雇用促進法第八十五条の二第三項において準用する法第二十一条」と読み替えるものとする。</w:t>
      </w:r>
    </w:p>
    <w:p>
      <w:pPr>
        <w:pStyle w:val="Heading4"/>
      </w:pPr>
      <w:r>
        <w:t>第二条（報告）</w:t>
      </w:r>
    </w:p>
    <w:p>
      <w:r>
        <w:t>法第八十五条の二第二項の規定により読み替えて適用する法第八十二条第二項の規定による報告の命令は、文書により行うものとする。</w:t>
      </w:r>
    </w:p>
    <w:p>
      <w:pPr>
        <w:pStyle w:val="Heading4"/>
      </w:pPr>
      <w:r>
        <w:t>第三条（立入検査の身分証明書）</w:t>
      </w:r>
    </w:p>
    <w:p>
      <w:r>
        <w:t>法第八十二条第三項の職員の身分を示す証明書は、別記様式によるものとする。</w:t>
      </w:r>
    </w:p>
    <w:p>
      <w:pPr>
        <w:pStyle w:val="Heading4"/>
      </w:pPr>
      <w:r>
        <w:t>第四条（権限の委任）</w:t>
      </w:r>
    </w:p>
    <w:p>
      <w:r>
        <w:t>法第八十五条の二第二項の規定により読み替えて適用する法第三十六条の六及び第八十二条第二項に規定する国土交通大臣の権限は、地方運輸局長（運輸監理部長を含む。）に委任する。</w:t>
        <w:br/>
        <w:t>ただし、国土交通大臣が自らその権限を行うことを妨げない。</w:t>
      </w:r>
    </w:p>
    <w:p>
      <w:r>
        <w:br w:type="page"/>
      </w:r>
    </w:p>
    <w:p>
      <w:pPr>
        <w:pStyle w:val="Heading1"/>
      </w:pPr>
      <w:r>
        <w:t>附　則</w:t>
      </w:r>
    </w:p>
    <w:p>
      <w:r>
        <w:t>この省令は、平成二十八年四月一日から施行する。</w:t>
      </w:r>
    </w:p>
    <w:p>
      <w:r>
        <w:br w:type="page"/>
      </w:r>
    </w:p>
    <w:p>
      <w:pPr>
        <w:pStyle w:val="Heading1"/>
      </w:pPr>
      <w:r>
        <w:t>附則（令和元年六月一四日国土交通省令第一三号）</w:t>
      </w:r>
    </w:p>
    <w:p>
      <w:r>
        <w:t>この省令は、公布の日から施行する。</w:t>
      </w:r>
    </w:p>
    <w:p>
      <w:r>
        <w:br w:type="page"/>
      </w:r>
    </w:p>
    <w:p>
      <w:pPr>
        <w:pStyle w:val="Heading1"/>
      </w:pPr>
      <w:r>
        <w:t>附則（令和二年五月二五日国土交通省令第五〇号）</w:t>
      </w:r>
    </w:p>
    <w:p>
      <w:pPr>
        <w:pStyle w:val="Heading5"/>
        <w:ind w:left="440"/>
      </w:pPr>
      <w:r>
        <w:t>１</w:t>
      </w:r>
    </w:p>
    <w:p>
      <w:pPr>
        <w:ind w:left="440"/>
      </w:pPr>
      <w:r>
        <w:t>この省令は、女性の職業生活における活躍の推進に関する法律等の一部を改正する法律の施行の日（令和二年六月一日）から施行する。</w:t>
      </w:r>
    </w:p>
    <w:p>
      <w:pPr>
        <w:pStyle w:val="Heading5"/>
        <w:ind w:left="440"/>
      </w:pPr>
      <w:r>
        <w:t>２</w:t>
      </w:r>
    </w:p>
    <w:p>
      <w:pPr>
        <w:ind w:left="440"/>
      </w:pPr>
      <w:r>
        <w:t>第一条の規定による改正後の船員に関する雇用の分野における男女の均等な機会及び待遇の確保等に関する法律施行規則第四条の二の規定の適用については、施行の日から令和八年三月三十一日までの間は、同条中「法第三十一条第一項の規定により読み替えて適用される法第十三条の二に規定する業務」とあるのは、「法第三十一条第一項の規定により読み替えて適用される法附則第二項の規定により読み替えて適用される法第十三条の二に規定する業務」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船員に関する障害者の雇用の促進等に関する法律施行規則</w:t>
      <w:br/>
      <w:tab/>
      <w:t>（平成二十八年国土交通省令第二十二号）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船員に関する障害者の雇用の促進等に関する法律施行規則（平成二十八年国土交通省令第二十二号）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