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船員法第一条第二項第二号の港の区域の特例に関する政令</w:t>
        <w:br/>
        <w:t>（昭和二十三年政令第百六十四号）</w:t>
      </w:r>
    </w:p>
    <w:p>
      <w:pPr>
        <w:pStyle w:val="Heading5"/>
        <w:ind w:left="440"/>
      </w:pPr>
      <w:r>
        <w:t>１</w:t>
      </w:r>
    </w:p>
    <w:p>
      <w:pPr>
        <w:ind w:left="440"/>
      </w:pPr>
      <w:r>
        <w:t>国土交通大臣が船員法（昭和二十二年法律第百号）第一条第三項ただし書の規定により港則法（昭和二十三年法律第百七十四号）に基づく港の区域と異なる区域を定めようとするときは、国土交通省令で定めるところにより、交通政策審議会又は地方交通審議会の議を経なければならない。</w:t>
      </w:r>
    </w:p>
    <w:p>
      <w:pPr>
        <w:pStyle w:val="Heading5"/>
        <w:ind w:left="440"/>
      </w:pPr>
      <w:r>
        <w:t>２</w:t>
      </w:r>
    </w:p>
    <w:p>
      <w:pPr>
        <w:ind w:left="440"/>
      </w:pPr>
      <w:r>
        <w:t>国土交通大臣は、前項の規定により港の区域を定めた場合には、これを告示しなければならない。</w:t>
      </w:r>
    </w:p>
    <w:p>
      <w:r>
        <w:br w:type="page"/>
      </w:r>
    </w:p>
    <w:p>
      <w:pPr>
        <w:pStyle w:val="Heading1"/>
      </w:pPr>
      <w:r>
        <w:t>附　則</w:t>
      </w:r>
    </w:p>
    <w:p>
      <w:r>
        <w:t>この政令は、港域法施行の日（昭和二十三年七月十六日）から、これを施行する。</w:t>
      </w:r>
    </w:p>
    <w:p>
      <w:r>
        <w:br w:type="page"/>
      </w:r>
    </w:p>
    <w:p>
      <w:pPr>
        <w:pStyle w:val="Heading1"/>
      </w:pPr>
      <w:r>
        <w:t>附則（昭和四〇年六月二二日政令第二一九号）</w:t>
      </w:r>
    </w:p>
    <w:p>
      <w:pPr>
        <w:pStyle w:val="Heading5"/>
        <w:ind w:left="440"/>
      </w:pPr>
      <w:r>
        <w:t>１</w:t>
      </w:r>
    </w:p>
    <w:p>
      <w:pPr>
        <w:ind w:left="440"/>
      </w:pPr>
      <w:r>
        <w:t>この政令は、港則法の一部を改正する法律（昭和四十年法律第八十号）の施行の日（昭和四十年七月一日）から施行する。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船員法第一条第二項第二号の港の区域の特例に関する政令</w:t>
      <w:br/>
      <w:tab/>
      <w:t>（昭和二十三年政令第百六十四号）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船員法第一条第二項第二号の港の区域の特例に関する政令（昭和二十三年政令第百六十四号）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