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船員法第百四条第一項の規定により市町村が処理する事務に関する政令</w:t>
        <w:br/>
        <w:t>（昭和二十八年政令第二百六十号）</w:t>
      </w:r>
    </w:p>
    <w:p>
      <w:pPr>
        <w:pStyle w:val="Heading5"/>
        <w:ind w:left="440"/>
      </w:pPr>
      <w:r>
        <w:t>１</w:t>
      </w:r>
    </w:p>
    <w:p>
      <w:pPr>
        <w:ind w:left="440"/>
      </w:pPr>
      <w:r>
        <w:t>船員法（以下「法」という。）の規定による事務で、次に掲げるものは、国土交通大臣のほか、法第百四条第一項に規定する市町村長も行うこととする。</w:t>
        <w:br/>
        <w:t>この場合においては、法中前段に規定する事務に係る国土交通大臣に関する規定は、法第百四条第一項に規定する市町村長に関する規定として当該市町村長に適用があるものとする。</w:t>
      </w:r>
    </w:p>
    <w:p>
      <w:pPr>
        <w:pStyle w:val="ListBullet"/>
        <w:ind w:left="880"/>
      </w:pPr>
      <w:r>
        <w:t>一</w:t>
        <w:br/>
        <w:t>法第十九条の規定による報告の受理に関すること。</w:t>
      </w:r>
    </w:p>
    <w:p>
      <w:pPr>
        <w:pStyle w:val="ListBullet"/>
        <w:ind w:left="880"/>
      </w:pPr>
      <w:r>
        <w:t>二</w:t>
        <w:br/>
        <w:t>法第三十七条の雇入契約の成立等の届出の受理及び法第三十八条の雇入契約の確認に関すること。</w:t>
      </w:r>
    </w:p>
    <w:p>
      <w:pPr>
        <w:pStyle w:val="ListBullet"/>
        <w:ind w:left="880"/>
      </w:pPr>
      <w:r>
        <w:t>三</w:t>
        <w:br/>
        <w:t>法第五十条第四項の規定に基づく船員手帳（外国人に係るものを除く。）の交付、再交付、訂正、書換え及び返還に関すること。</w:t>
      </w:r>
    </w:p>
    <w:p>
      <w:pPr>
        <w:pStyle w:val="ListBullet"/>
        <w:ind w:left="880"/>
      </w:pPr>
      <w:r>
        <w:t>四</w:t>
        <w:br/>
        <w:t>法第八十五条第三項の認証に関すること。</w:t>
      </w:r>
    </w:p>
    <w:p>
      <w:pPr>
        <w:pStyle w:val="Heading5"/>
        <w:ind w:left="440"/>
      </w:pPr>
      <w:r>
        <w:t>２</w:t>
      </w:r>
    </w:p>
    <w:p>
      <w:pPr>
        <w:ind w:left="440"/>
      </w:pPr>
      <w:r>
        <w:t>法第百四条第一項の規定による国土交通大臣の指定は、地方運輸局（運輸監理部、運輸支局及び地方運輸局、運輸監理部又は運輸支局の事務所を含む。）との交通が不便であり、かつ、出入する船舶が相当に多いと認められる港に接続する地域を区域とする市町村の長について、関係者の利便を考慮して行うものとする。</w:t>
      </w:r>
    </w:p>
    <w:p>
      <w:pPr>
        <w:pStyle w:val="Heading5"/>
        <w:ind w:left="440"/>
      </w:pPr>
      <w:r>
        <w:t>３</w:t>
      </w:r>
    </w:p>
    <w:p>
      <w:pPr>
        <w:ind w:left="440"/>
      </w:pPr>
      <w:r>
        <w:t>前項の規定の沖縄県の区域についての適用については、同項中「地方運輸局（運輸監理部、運輸支局及び地方運輸局、運輸監理部又は運輸支局の事務所を含む。）」とあるのは、「沖縄総合事務局（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とする。</w:t>
      </w:r>
    </w:p>
    <w:p>
      <w:pPr>
        <w:pStyle w:val="Heading5"/>
        <w:ind w:left="440"/>
      </w:pPr>
      <w:r>
        <w:t>４</w:t>
      </w:r>
    </w:p>
    <w:p>
      <w:pPr>
        <w:ind w:left="440"/>
      </w:pPr>
      <w:r>
        <w:t>第一項の規定により市町村が処理することとされている事務は、地方自治法（昭和二十二年法律第六十七号）第二条第九項第一号に規定する第一号法定受託事務とする。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この政令は、昭和二十八年九月一日から施行する。</w:t>
      </w:r>
    </w:p>
    <w:p>
      <w:r>
        <w:br w:type="page"/>
      </w:r>
    </w:p>
    <w:p>
      <w:pPr>
        <w:pStyle w:val="Heading1"/>
      </w:pPr>
      <w:r>
        <w:t>附則（昭和二九年七月一五日政令第二〇五号）</w:t>
      </w:r>
    </w:p>
    <w:p>
      <w:r>
        <w:t>この政令は、公布の日から施行する。</w:t>
      </w:r>
    </w:p>
    <w:p>
      <w:r>
        <w:br w:type="page"/>
      </w:r>
    </w:p>
    <w:p>
      <w:pPr>
        <w:pStyle w:val="Heading1"/>
      </w:pPr>
      <w:r>
        <w:t>附則（昭和三四年一一月一七日政令第三三五号）</w:t>
      </w:r>
    </w:p>
    <w:p>
      <w:r>
        <w:t>この政令は、公布の日から施行する。</w:t>
      </w:r>
    </w:p>
    <w:p>
      <w:r>
        <w:br w:type="page"/>
      </w:r>
    </w:p>
    <w:p>
      <w:pPr>
        <w:pStyle w:val="Heading1"/>
      </w:pPr>
      <w:r>
        <w:t>附則（昭和四七年五月一三日政令第一九〇号）</w:t>
      </w:r>
    </w:p>
    <w:p>
      <w:r>
        <w:t>この政令中、第一条及び第二条の規定は公布の日から、第三条の規定は沖縄開発庁設置法の施行の日（昭和四十七年五月十五日）から施行する。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附則（平成一一年一〇月二七日政令第三三六号）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附則（平成二五年一月二三日政令第一〇号）</w:t>
      </w:r>
    </w:p>
    <w:p>
      <w:r>
        <w:t>この政令は、船員法の一部を改正する法律の施行の日（平成二十五年三月一日）から施行する。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船員法第百四条第一項の規定により市町村が処理する事務に関する政令</w:t>
      <w:br/>
      <w:tab/>
      <w:t>（昭和二十八年政令第二百六十号）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船員法第百四条第一項の規定により市町村が処理する事務に関する政令（昭和二十八年政令第二百六十号）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