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船舶に設置する軽水減速加圧軽水冷却型原子炉であつて研究開発段階にあるものの運転計画に関する規則</w:t>
        <w:br/>
        <w:t>（昭和四十七年総理府・運輸省令第二号）</w:t>
      </w:r>
    </w:p>
    <w:p>
      <w:pPr>
        <w:pStyle w:val="Heading5"/>
        <w:ind w:left="440"/>
      </w:pPr>
      <w:r>
        <w:t>１</w:t>
      </w:r>
    </w:p>
    <w:p>
      <w:pPr>
        <w:ind w:left="440"/>
      </w:pPr>
      <w:r>
        <w:t>核原料物質、核燃料物質及び原子炉の規制に関する法律（以下「法」という。）第三十条の規定による原子炉の運転計画のうち、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以下「原子炉」という。）に係るものは、原子炉ごとに、別記様式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二十三条第一項の規定による原子炉の設置の許可又は法第二十六条第一項の規定による原子炉の設置に係る変更の許可を受け、その期間内に運転を開始する場合における運転計画は、前項の規定にかかわらず、当該許可を受けた後速やかに届け出るものとする。</w:t>
      </w:r>
    </w:p>
    <w:p>
      <w:pPr>
        <w:pStyle w:val="Heading5"/>
        <w:ind w:left="440"/>
      </w:pPr>
      <w:r>
        <w:t>３</w:t>
      </w:r>
    </w:p>
    <w:p>
      <w:pPr>
        <w:ind w:left="440"/>
      </w:pPr>
      <w:r>
        <w:t>前二項の運転計画を変更したときは、その変更した運転計画を変更の日から三十日以内に、原子炉ごとに、別記様式により作成し、届け出るものとする。</w:t>
      </w:r>
    </w:p>
    <w:p>
      <w:pPr>
        <w:pStyle w:val="Heading5"/>
        <w:ind w:left="440"/>
      </w:pPr>
      <w:r>
        <w:t>４</w:t>
      </w:r>
    </w:p>
    <w:p>
      <w:pPr>
        <w:ind w:left="440"/>
      </w:pPr>
      <w:r>
        <w:t>前三項の運転計画は、原子力規制委員会あてに、正本及び副本各一通を提出するものとする。</w:t>
      </w:r>
    </w:p>
    <w:p>
      <w:r>
        <w:br w:type="page"/>
      </w:r>
    </w:p>
    <w:p>
      <w:pPr>
        <w:pStyle w:val="Heading1"/>
      </w:pPr>
      <w:r>
        <w:t>附　則</w:t>
      </w:r>
    </w:p>
    <w:p>
      <w:pPr>
        <w:pStyle w:val="Heading5"/>
        <w:ind w:left="440"/>
      </w:pPr>
      <w:r>
        <w:t>１</w:t>
      </w:r>
    </w:p>
    <w:p>
      <w:pPr>
        <w:ind w:left="440"/>
      </w:pPr>
      <w:r>
        <w:t>この命令は、公布の日から施行する。</w:t>
      </w:r>
    </w:p>
    <w:p>
      <w:r>
        <w:br w:type="page"/>
      </w:r>
    </w:p>
    <w:p>
      <w:pPr>
        <w:pStyle w:val="Heading1"/>
      </w:pPr>
      <w:r>
        <w:t>附則（昭和五三年一二月二八日総理府・運輸省令第一号）</w:t>
      </w:r>
    </w:p>
    <w:p>
      <w:r>
        <w:t>この命令は、原子力基本法等の一部を改正する法律（昭和五十三年法律第八十六号）附則第一条第三号に掲げる規定の施行の日（昭和五十四年一月四日）から施行する。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附則（平成一〇年三月三一日総理府・運輸省令第一号）</w:t>
      </w:r>
    </w:p>
    <w:p>
      <w:r>
        <w:t>この命令は、平成十年四月一日から施行する。</w:t>
      </w:r>
    </w:p>
    <w:p>
      <w:r>
        <w:br w:type="page"/>
      </w:r>
    </w:p>
    <w:p>
      <w:pPr>
        <w:pStyle w:val="Heading1"/>
      </w:pPr>
      <w:r>
        <w:t>附則（平成一二年一二月一一日総理府・運輸省令第三号）</w:t>
      </w:r>
    </w:p>
    <w:p>
      <w:r>
        <w:t>この命令は、内閣法の一部を改正する法律（平成十一年法律第八十八号）の施行の日（平成十三年一月六日）から施行する。</w:t>
      </w:r>
    </w:p>
    <w:p>
      <w:r>
        <w:br w:type="page"/>
      </w:r>
    </w:p>
    <w:p>
      <w:pPr>
        <w:pStyle w:val="Heading1"/>
      </w:pPr>
      <w:r>
        <w:t>附則（平成二四年九月一四日文部科学省・国土交通省令第一号）</w:t>
      </w:r>
    </w:p>
    <w:p>
      <w:r>
        <w:t>この省令は、原子力規制委員会設置法の施行の日から施行する。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船舶に設置する軽水減速加圧軽水冷却型原子炉であつて研究開発段階にあるものの運転計画に関する規則</w:t>
      <w:br/>
      <w:tab/>
      <w:t>（昭和四十七年総理府・運輸省令第二号）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船舶に設置する軽水減速加圧軽水冷却型原子炉であつて研究開発段階にあるものの運転計画に関する規則（昭和四十七年総理府・運輸省令第二号）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