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船舶の所有者等の責任の制限に関する法律施行令</w:t>
        <w:br/>
        <w:t>（昭和五十一年政令第二百四十八号）</w:t>
      </w:r>
    </w:p>
    <w:p>
      <w:r>
        <w:t>船舶の所有者等の責任の制限に関する法律第二十条第四項の政令で定める者は、次に掲げる者とする。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信用金庫</w:t>
      </w:r>
    </w:p>
    <w:p>
      <w:pPr>
        <w:pStyle w:val="Heading6"/>
        <w:ind w:left="880"/>
      </w:pPr>
      <w:r>
        <w:t>四</w:t>
      </w:r>
    </w:p>
    <w:p>
      <w:pPr>
        <w:ind w:left="880"/>
      </w:pPr>
      <w:r>
        <w:t>農林中央金庫</w:t>
      </w:r>
    </w:p>
    <w:p>
      <w:pPr>
        <w:pStyle w:val="Heading6"/>
        <w:ind w:left="880"/>
      </w:pPr>
      <w:r>
        <w:t>五</w:t>
      </w:r>
    </w:p>
    <w:p>
      <w:pPr>
        <w:ind w:left="880"/>
      </w:pPr>
      <w:r>
        <w:t>水産業協同組合法（昭和二十三年法律第二百四十二号）第八十七条第一項第三号及び第四号の事業を行う漁業協同組合連合会</w:t>
      </w:r>
    </w:p>
    <w:p>
      <w:pPr>
        <w:pStyle w:val="Heading6"/>
        <w:ind w:left="880"/>
      </w:pPr>
      <w:r>
        <w:t>六</w:t>
      </w:r>
    </w:p>
    <w:p>
      <w:pPr>
        <w:ind w:left="880"/>
      </w:pPr>
      <w:r>
        <w:t>保険会社</w:t>
      </w:r>
    </w:p>
    <w:p>
      <w:pPr>
        <w:pStyle w:val="Heading6"/>
        <w:ind w:left="880"/>
      </w:pPr>
      <w:r>
        <w:t>七</w:t>
      </w:r>
    </w:p>
    <w:p>
      <w:pPr>
        <w:ind w:left="880"/>
      </w:pPr>
      <w:r>
        <w:t>保険業法（平成七年法律第百五号）第二条第七項に規定する外国保険会社等</w:t>
      </w:r>
    </w:p>
    <w:p>
      <w:pPr>
        <w:pStyle w:val="Heading6"/>
        <w:ind w:left="880"/>
      </w:pPr>
      <w:r>
        <w:t>八</w:t>
      </w:r>
    </w:p>
    <w:p>
      <w:pPr>
        <w:ind w:left="880"/>
      </w:pPr>
      <w:r>
        <w:t>船主相互保険組合</w:t>
      </w:r>
    </w:p>
    <w:p>
      <w:pPr>
        <w:pStyle w:val="Heading6"/>
        <w:ind w:left="880"/>
      </w:pPr>
      <w:r>
        <w:t>九</w:t>
      </w:r>
    </w:p>
    <w:p>
      <w:pPr>
        <w:ind w:left="880"/>
      </w:pPr>
      <w:r>
        <w:t>漁船保険組合</w:t>
      </w:r>
    </w:p>
    <w:p>
      <w:r>
        <w:br w:type="page"/>
      </w:r>
    </w:p>
    <w:p>
      <w:pPr>
        <w:pStyle w:val="Heading1"/>
      </w:pPr>
      <w:r>
        <w:t>附　則</w:t>
      </w:r>
    </w:p>
    <w:p>
      <w:r>
        <w:t>この政令は、公布の日から施行する。</w:t>
      </w:r>
    </w:p>
    <w:p>
      <w:r>
        <w:br w:type="page"/>
      </w:r>
    </w:p>
    <w:p>
      <w:pPr>
        <w:pStyle w:val="Heading1"/>
      </w:pPr>
      <w:r>
        <w:t>附　則（昭和五九年三月二日政令第二三号）</w:t>
      </w:r>
    </w:p>
    <w:p>
      <w:r>
        <w:t>この政令は、船舶の所有者等の責任の制限に関する法律の一部を改正する法律の施行の日（昭和五十九年五月二十日）から施行する。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船舶の所有者等の責任の制限に関する法律施行令</w:t>
      <w:br/>
      <w:tab/>
      <w:t>（昭和五十一年政令第二百四十八号）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船舶の所有者等の責任の制限に関する法律施行令（昭和五十一年政令第二百四十八号）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