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船舶安全法及び船舶職員法の一部を改正する法律附則第三条に規定する経過措置に関する省令</w:t>
        <w:br/>
        <w:t>（平成十六年国土交通省令第八号）</w:t>
      </w:r>
    </w:p>
    <w:p>
      <w:pPr>
        <w:pStyle w:val="Heading4"/>
      </w:pPr>
      <w:r>
        <w:t>第一条（準用）</w:t>
      </w:r>
    </w:p>
    <w:p>
      <w:r>
        <w:t>船舶職員及び小型船舶操縦者法施行規則（昭和二十六年運輸省令第九十一号）第三条の三から第三条の十三までの規定は船舶安全法及び船舶職員法の一部を改正する法律附則第三条の登録、登録電子通信移行講習、登録電子通信移行講習事務、登録電子通信移行講習事務規程及び登録電子通信移行講習実施機関について準用する。</w:t>
      </w:r>
    </w:p>
    <w:p>
      <w:pPr>
        <w:pStyle w:val="Heading4"/>
      </w:pPr>
      <w:r>
        <w:t>第二条（証票の様式）</w:t>
      </w:r>
    </w:p>
    <w:p>
      <w:r>
        <w:t>船舶安全法及び船舶職員法の一部を改正する法律（平成三年法律第七十五号）附則第六条において準用する船舶職員及び小型船舶操縦者法（昭和二十六年法律第百四十九号）第十七条の十三第二項の証票の様式は、次のとおりとする。</w:t>
      </w:r>
    </w:p>
    <w:p>
      <w:r>
        <w:br w:type="page"/>
      </w:r>
    </w:p>
    <w:p>
      <w:pPr>
        <w:pStyle w:val="Heading1"/>
      </w:pPr>
      <w:r>
        <w:t>附　則</w:t>
      </w:r>
    </w:p>
    <w:p>
      <w:r>
        <w:t>この省令は、平成十六年三月一日から施行する。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船舶安全法及び船舶職員法の一部を改正する法律附則第三条に規定する経過措置に関する省令</w:t>
      <w:br/>
      <w:tab/>
      <w:t>（平成十六年国土交通省令第八号）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船舶安全法及び船舶職員法の一部を改正する法律附則第三条に規定する経過措置に関する省令（平成十六年国土交通省令第八号）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