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行政書士法に係る民間事業者等が行う書面の保存等における情報通信の技術の利用に関する法律施行規則</w:t>
        <w:br/>
        <w:t>（平成十七年総務省令第六十一号）</w:t>
      </w:r>
    </w:p>
    <w:p>
      <w:pPr>
        <w:pStyle w:val="Heading4"/>
      </w:pPr>
      <w:r>
        <w:t>第一条（趣旨）</w:t>
      </w:r>
    </w:p>
    <w:p>
      <w:r>
        <w:t>民間事業者等が、行政書士法（昭和二十六年法律第四号）に係る保存等を、電磁的記録を使用して行う場合については、他の法律及び法律に基づく命令（告示を含む。）に特別の定めのある場合を除くほか、この規則の定めるところによる。</w:t>
      </w:r>
    </w:p>
    <w:p>
      <w:pPr>
        <w:pStyle w:val="Heading4"/>
      </w:pPr>
      <w:r>
        <w:t>第二条（定義）</w:t>
      </w:r>
    </w:p>
    <w:p>
      <w:r>
        <w:t>この規則において使用する用語は、特別の定めのある場合を除くほか、民間事業者等が行う書面の保存等における情報通信の技術の利用に関する法律（平成十六年法律第百四十九号。以下「法」という。）において使用する用語の例による。</w:t>
      </w:r>
    </w:p>
    <w:p>
      <w:pPr>
        <w:pStyle w:val="Heading4"/>
      </w:pPr>
      <w:r>
        <w:t>第三条（法第三条第一項の主務省令で定める保存）</w:t>
      </w:r>
    </w:p>
    <w:p>
      <w:r>
        <w:t>法第三条第一項の主務省令で定める保存は、行政書士法第九条第一項及び第二項（同法第十三条の十七において準用する場合を含む。）、同法第十三条の二十一第一項において準用する会社法（平成十七年法律第八十六号）第六百十五条第二項及び第六百十七条第四項、行政書士法第十三条の二十一第二項において準用する会社法第六百七十二条第一項、第二項又は第四項並びに行政書士法施行規則（昭和二十六年総理府令第五号）第十条（同規則第十二条の三において準用する場合を含む。）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民間事業者等が、前項各号の規定に基づく電磁的記録の保存を行う場合は、当該記録を必要に応じ電子計算機その他の機器を用いて直ちに表示することができなければならない。</w:t>
      </w:r>
    </w:p>
    <w:p>
      <w:pPr>
        <w:pStyle w:val="Heading4"/>
      </w:pPr>
      <w:r>
        <w:t>第五条（法第四条第一項の主務省令で定める作成）</w:t>
      </w:r>
    </w:p>
    <w:p>
      <w:r>
        <w:t>法第四条第一項の主務省令で定める作成は、行政書士法第九条第一項（同法第十三条の十七において準用する場合を含む。）、同法第十三条の二十一第一項において準用する会社法第六百十五条第一項及び行政書士法施行規則第十条（同規則第十二条の三において準用する場合を含む。）の規定に基づく書面の作成とする。</w:t>
      </w:r>
    </w:p>
    <w:p>
      <w:pPr>
        <w:pStyle w:val="Heading4"/>
      </w:pPr>
      <w:r>
        <w:t>第六条（電磁的記録による作成）</w:t>
      </w:r>
    </w:p>
    <w:p>
      <w:r>
        <w:t>民間事業者等が、法第四条第一項の規定に基づき、前条に規定する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行政書士法施行規則第十条（同規則第十二条の三において準用する場合を含む。）の規定に基づく作成において記載すべき事項とされた記名押印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第八条（法第六条第一項の主務省令で定める交付等）</w:t>
      </w:r>
    </w:p>
    <w:p>
      <w:r>
        <w:t>法第六条第一項の主務省令で定める交付等は、行政書士法施行規則第十条（同規則第十二条の三において準用する場合を含む。）の規定に基づく書面の交付とする。</w:t>
      </w:r>
    </w:p>
    <w:p>
      <w:pPr>
        <w:pStyle w:val="Heading4"/>
      </w:pPr>
      <w:r>
        <w:t>第九条（電磁的記録による交付）</w:t>
      </w:r>
    </w:p>
    <w:p>
      <w:r>
        <w:t>民間事業者等が、法第六条第一項の規定に基づき、行政書士法施行規則第十条（同規則第十二条の三において準用する場合を含む。）の規定に基づく書面の交付に代えて当該書面に係る電磁的記録に記録されている事項の交付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前項に掲げる方法は、交付の相手方がファイルへの記録を出力することによる書面を作成することができるものでなければならない。</w:t>
      </w:r>
    </w:p>
    <w:p>
      <w:pPr>
        <w:pStyle w:val="Heading4"/>
      </w:pPr>
      <w:r>
        <w:t>第十条（電磁的方法による承諾）</w:t>
      </w:r>
    </w:p>
    <w:p>
      <w:r>
        <w:t>民間事業者等が行う書面の保存等における情報通信の技術の利用に関する法律施行令（平成十七年政令第八号）第二条第一項の規定により示すべき方法の種類及び内容は、次に掲げる事項とする。</w:t>
      </w:r>
    </w:p>
    <w:p>
      <w:pPr>
        <w:pStyle w:val="ListBullet"/>
        <w:ind w:left="880"/>
      </w:pPr>
      <w:r>
        <w:t>一</w:t>
        <w:br/>
        <w:t>前条第一項に掲げる方法のうち民間事業者等が使用するもの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この省令は平成十七年四月一日から施行する。</w:t>
      </w:r>
    </w:p>
    <w:p>
      <w:pPr>
        <w:pStyle w:val="Heading4"/>
      </w:pPr>
      <w:r>
        <w:t>第三条（経過措置）</w:t>
      </w:r>
    </w:p>
    <w:p>
      <w:r>
        <w:t>前条の規定による改正前の行政書士法施行規則第三条の規定に基づき電磁的記録に係る記録媒体により行われた帳簿の備付け及び保存は、第三条の規定による書面の保存とみなす。</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附則（平成一八年四月二六日総務省令第七六号）</w:t>
      </w:r>
    </w:p>
    <w:p>
      <w:r>
        <w:t>この省令は、会社法の施行の日（平成十八年五月一日）から施行する。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行政書士法に係る民間事業者等が行う書面の保存等における情報通信の技術の利用に関する法律施行規則</w:t>
      <w:br/>
      <w:tab/>
      <w:t>（平成十七年総務省令第六十一号）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行政書士法に係る民間事業者等が行う書面の保存等における情報通信の技術の利用に関する法律施行規則（平成十七年総務省令第六十一号）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