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行政機関の保有する個人情報の保護に関する法律施行令第二十二条の送付に要する費用の納付方法を定める省令</w:t>
        <w:br/>
        <w:t>（平成十八年総務省令第二十八号）</w:t>
      </w:r>
    </w:p>
    <w:p>
      <w:r>
        <w:t>行政機関の保有する個人情報の保護に関する法律施行令第二十二条に規定する総務省令で定める方法は、次の各号に掲げる方法とする。</w:t>
      </w:r>
    </w:p>
    <w:p>
      <w:pPr>
        <w:pStyle w:val="ListBullet"/>
        <w:ind w:left="880"/>
      </w:pPr>
      <w:r>
        <w:t>一</w:t>
        <w:br/>
        <w:t>郵便切手又は総務大臣が定めるこれに類する証票で納付する方法</w:t>
      </w:r>
    </w:p>
    <w:p>
      <w:pPr>
        <w:pStyle w:val="ListBullet"/>
        <w:ind w:left="880"/>
      </w:pPr>
      <w:r>
        <w:t>二</w:t>
        <w:br/>
        <w:t>情報通信技術を活用した行政の推進等に関する法律（平成十四年法律第百五十一号）第六条第一項の規定により同項に規定する電子情報処理組織を使用する方法により行政機関の保有する個人情報の保護に関する法律（平成十五年法律第五十八号）第二十四条第三項の規定による申出をした場合において、当該申出により得られた納付情報により納付する方法</w:t>
      </w:r>
    </w:p>
    <w:p>
      <w:r>
        <w:br w:type="page"/>
      </w:r>
    </w:p>
    <w:p>
      <w:pPr>
        <w:pStyle w:val="Heading1"/>
      </w:pPr>
      <w:r>
        <w:t>附　則</w:t>
      </w:r>
    </w:p>
    <w:p>
      <w:r>
        <w:t>この省令は、平成十八年四月一日から施行する。</w:t>
      </w:r>
    </w:p>
    <w:p>
      <w:r>
        <w:br w:type="page"/>
      </w:r>
    </w:p>
    <w:p>
      <w:pPr>
        <w:pStyle w:val="Heading1"/>
      </w:pPr>
      <w:r>
        <w:t>附則（平成二九年三月三一日総務省令第二一号）</w:t>
      </w:r>
    </w:p>
    <w:p>
      <w:r>
        <w:t>この省令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の日（平成二十九年五月三十日）から施行する。</w:t>
      </w:r>
    </w:p>
    <w:p>
      <w:r>
        <w:br w:type="page"/>
      </w:r>
    </w:p>
    <w:p>
      <w:pPr>
        <w:pStyle w:val="Heading1"/>
      </w:pPr>
      <w:r>
        <w:t>附則（令和元年一二月一三日総務省令第六四号）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行政機関の保有する個人情報の保護に関する法律施行令第二十二条の送付に要する費用の納付方法を定める省令</w:t>
      <w:br/>
      <w:tab/>
      <w:t>（平成十八年総務省令第二十八号）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行政機関の保有する個人情報の保護に関する法律施行令第二十二条の送付に要する費用の納付方法を定める省令（平成十八年総務省令第二十八号）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