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行政相談委員法第二条第一項第一号の法人を定める政令</w:t>
        <w:br/>
        <w:t>（昭和四十一年政令第二百二十二号）</w:t>
      </w:r>
    </w:p>
    <w:p>
      <w:r>
        <w:t>行政相談委員法第二条第一項第一号に規定する政令で定める法人は、次のとおりとする。</w:t>
      </w:r>
    </w:p>
    <w:p>
      <w:pPr>
        <w:pStyle w:val="Heading6"/>
        <w:ind w:left="880"/>
      </w:pPr>
      <w:r>
        <w:t>一</w:t>
      </w:r>
    </w:p>
    <w:p>
      <w:pPr>
        <w:ind w:left="880"/>
      </w:pPr>
      <w:r>
        <w:t>独立行政法人自動車技術総合機構、独立行政法人中小企業基盤整備機構、独立行政法人鉄道建設・運輸施設整備支援機構、独立行政法人水資源機構、独立行政法人自動車事故対策機構、独立行政法人国立病院機構、独立行政法人都市再生機構、独立行政法人国立高等専門学校機構、独立行政法人地域医療機能推進機構、独立行政法人住宅金融支援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w:t>
      </w:r>
    </w:p>
    <w:p>
      <w:pPr>
        <w:pStyle w:val="Heading6"/>
        <w:ind w:left="880"/>
      </w:pPr>
      <w:r>
        <w:t>二</w:t>
      </w:r>
    </w:p>
    <w:p>
      <w:pPr>
        <w:ind w:left="880"/>
      </w:pPr>
      <w:r>
        <w:t>国立大学法人法（平成十五年法律第百十二号）第二条第一項に規定する国立大学法人</w:t>
      </w:r>
    </w:p>
    <w:p>
      <w:pPr>
        <w:pStyle w:val="Heading6"/>
        <w:ind w:left="880"/>
      </w:pPr>
      <w:r>
        <w:t>三</w:t>
      </w:r>
    </w:p>
    <w:p>
      <w:pPr>
        <w:ind w:left="880"/>
      </w:pPr>
      <w:r>
        <w:t>日本司法支援センター</w:t>
      </w:r>
    </w:p>
    <w:p>
      <w:pPr>
        <w:pStyle w:val="Heading6"/>
        <w:ind w:left="880"/>
      </w:pPr>
      <w:r>
        <w:t>四</w:t>
      </w:r>
    </w:p>
    <w:p>
      <w:pPr>
        <w:ind w:left="880"/>
      </w:pPr>
      <w:r>
        <w:t>沖縄振興開発金融公庫</w:t>
      </w:r>
    </w:p>
    <w:p>
      <w:pPr>
        <w:pStyle w:val="Heading6"/>
        <w:ind w:left="880"/>
      </w:pPr>
      <w:r>
        <w:t>五</w:t>
      </w:r>
    </w:p>
    <w:p>
      <w:pPr>
        <w:ind w:left="880"/>
      </w:pPr>
      <w:r>
        <w:t>日本たばこ産業株式会社、東日本電信電話株式会社、西日本電信電話株式会社、北海道旅客鉄道株式会社、四国旅客鉄道株式会社、日本貨物鉄道株式会社、成田国際空港株式会社、東日本高速道路株式会社、首都高速道路株式会社、中日本高速道路株式会社、西日本高速道路株式会社、阪神高速道路株式会社、本州四国連絡高速道路株式会社、日本郵便株式会社及び株式会社日本政策金融公庫</w:t>
      </w:r>
    </w:p>
    <w:p>
      <w:pPr>
        <w:pStyle w:val="Heading6"/>
        <w:ind w:left="880"/>
      </w:pPr>
      <w:r>
        <w:t>六</w:t>
      </w:r>
    </w:p>
    <w:p>
      <w:pPr>
        <w:ind w:left="880"/>
      </w:pPr>
      <w:r>
        <w:t>全国健康保険協会</w:t>
      </w:r>
    </w:p>
    <w:p>
      <w:pPr>
        <w:pStyle w:val="Heading6"/>
        <w:ind w:left="880"/>
      </w:pPr>
      <w:r>
        <w:t>七</w:t>
      </w:r>
    </w:p>
    <w:p>
      <w:pPr>
        <w:ind w:left="880"/>
      </w:pPr>
      <w:r>
        <w:t>日本年金機構</w:t>
      </w:r>
    </w:p>
    <w:p>
      <w:pPr>
        <w:pStyle w:val="Heading6"/>
        <w:ind w:left="880"/>
      </w:pPr>
      <w:r>
        <w:t>八</w:t>
      </w:r>
    </w:p>
    <w:p>
      <w:pPr>
        <w:ind w:left="880"/>
      </w:pPr>
      <w:r>
        <w:t>外国人技能実習機構</w:t>
      </w:r>
    </w:p>
    <w:p>
      <w:r>
        <w:br w:type="page"/>
      </w:r>
    </w:p>
    <w:p>
      <w:pPr>
        <w:pStyle w:val="Heading1"/>
      </w:pPr>
      <w:r>
        <w:t>附　則</w:t>
      </w:r>
    </w:p>
    <w:p>
      <w:r>
        <w:t>この政令は、昭和四十一年七月一日から施行する。</w:t>
      </w:r>
    </w:p>
    <w:p>
      <w:r>
        <w:br w:type="page"/>
      </w:r>
    </w:p>
    <w:p>
      <w:pPr>
        <w:pStyle w:val="Heading1"/>
      </w:pPr>
      <w:r>
        <w:t>附　則（昭和四一年七月三〇日政令第二七三号）</w:t>
      </w:r>
    </w:p>
    <w:p>
      <w:pPr>
        <w:pStyle w:val="Heading4"/>
      </w:pPr>
      <w:r>
        <w:t>第一条（施行期日）</w:t>
      </w:r>
    </w:p>
    <w:p>
      <w:r>
        <w:t>この政令は、公布の日から施行する。</w:t>
      </w:r>
    </w:p>
    <w:p>
      <w:r>
        <w:br w:type="page"/>
      </w:r>
    </w:p>
    <w:p>
      <w:pPr>
        <w:pStyle w:val="Heading1"/>
      </w:pPr>
      <w:r>
        <w:t>附　則（昭和四二年八月三一日政令第二七三号）</w:t>
      </w:r>
    </w:p>
    <w:p>
      <w:r>
        <w:t>この政令は、公布の日から施行する。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則（昭和四七年五月一三日政令第一八六号）</w:t>
      </w:r>
    </w:p>
    <w:p>
      <w:pPr>
        <w:pStyle w:val="Heading4"/>
      </w:pPr>
      <w:r>
        <w:t>第一条（施行期日）</w:t>
      </w:r>
    </w:p>
    <w:p>
      <w:r>
        <w:t>この政令は、公布の日から施行する。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則（平成一三年九月一二日政令第二九七号）</w:t>
      </w:r>
    </w:p>
    <w:p>
      <w:r>
        <w:t>この政令は、法附則第一条ただし書に規定する規定の施行の日（平成十四年七月一日）から施行する。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則（平成一五年六月二五日政令第二七八号）</w:t>
      </w:r>
    </w:p>
    <w:p>
      <w:pPr>
        <w:pStyle w:val="Heading4"/>
      </w:pPr>
      <w:r>
        <w:t>第一条（施行期日）</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則（平成一五年九月一八日政令第四一三号）</w:t>
      </w:r>
    </w:p>
    <w:p>
      <w:pPr>
        <w:pStyle w:val="Heading4"/>
      </w:pPr>
      <w:r>
        <w:t>第一条（施行期日）</w:t>
      </w:r>
    </w:p>
    <w:p>
      <w:r>
        <w:t>この政令は、平成十五年十月一日から施行する。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行政相談委員法第二条第一項第一号の法人を定める政令</w:t>
      <w:br/>
      <w:tab/>
      <w:t>（昭和四十一年政令第二百二十二号）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行政相談委員法第二条第一項第一号の法人を定める政令（昭和四十一年政令第二百二十二号）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