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補助金等に係る予算の執行の適正化に関する法律第二十三条第二項の証票の書式を定める省令</w:t>
        <w:br/>
        <w:t>（昭和三十一年大蔵省令第三十五号）</w:t>
      </w:r>
    </w:p>
    <w:p>
      <w:r>
        <w:t>補助金等に係る予算の執行の適正化に関する法律（昭和三十年法律第百七十九号）第二十三条第二項の証票の書式は、次のとおりとする。</w:t>
      </w:r>
    </w:p>
    <w:p>
      <w:r>
        <w:br w:type="page"/>
      </w:r>
    </w:p>
    <w:p>
      <w:pPr>
        <w:pStyle w:val="Heading1"/>
      </w:pPr>
      <w:r>
        <w:t>附　則</w:t>
      </w:r>
    </w:p>
    <w:p>
      <w:r>
        <w:t>この省令は、公布の日から施行する。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補助金等に係る予算の執行の適正化に関する法律第二十三条第二項の証票の書式を定める省令</w:t>
      <w:br/>
      <w:tab/>
      <w:t>（昭和三十一年大蔵省令第三十五号）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補助金等に係る予算の執行の適正化に関する法律第二十三条第二項の証票の書式を定める省令（昭和三十一年大蔵省令第三十五号）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