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視能訓練士法施行規則</w:t>
        <w:br/>
        <w:t>（昭和四十六年厚生省令第二十八号）</w:t>
      </w:r>
    </w:p>
    <w:p>
      <w:pPr>
        <w:pStyle w:val="Heading2"/>
      </w:pPr>
      <w:r>
        <w:t>第一章　免許</w:t>
      </w:r>
    </w:p>
    <w:p>
      <w:pPr>
        <w:pStyle w:val="Heading4"/>
      </w:pPr>
      <w:r>
        <w:t>第一条（法第四条第三号の厚生労働省令で定める者）</w:t>
      </w:r>
    </w:p>
    <w:p>
      <w:r>
        <w:t>視能訓練士法（昭和四十六年法律第六十四号。以下「法」という。）第四条第三号の厚生労働省令で定める者は、視覚、聴覚、音声機能若しくは言語機能又は精神の機能の障害により視能訓練士の業務を適正に行うに当たつて必要な認知、判断及び意思疎通を適切に行うことができない者とする。</w:t>
      </w:r>
    </w:p>
    <w:p>
      <w:pPr>
        <w:pStyle w:val="Heading4"/>
      </w:pPr>
      <w:r>
        <w:t>第一条の二（障害を補う手段等の考慮）</w:t>
      </w:r>
    </w:p>
    <w:p>
      <w:r>
        <w:t>厚生労働大臣は、視能訓練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第一条の三（免許の申請手続）</w:t>
      </w:r>
    </w:p>
    <w:p>
      <w:r>
        <w:t>視能訓練士法施行令（昭和四十六年政令第二百四十六号。以下「令」という。）第一条の視能訓練士の免許の申請書は、様式第一号によるものとする。</w:t>
      </w:r>
    </w:p>
    <w:p>
      <w:pPr>
        <w:pStyle w:val="Heading5"/>
        <w:ind w:left="440"/>
      </w:pPr>
      <w:r>
        <w:t>２</w:t>
      </w:r>
    </w:p>
    <w:p>
      <w:pPr>
        <w:ind w:left="440"/>
      </w:pPr>
      <w:r>
        <w:t>令第一条の規定により、前項の申請書に添えなければならない書類は、次のとおりとする。</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六条第二項において同じ。）（出入国管理及び難民認定法第十九条の三各号に掲げる者にあつては旅券その他の身分を証する書類の写し。第六条第二項において同じ。）</w:t>
      </w:r>
    </w:p>
    <w:p>
      <w:pPr>
        <w:pStyle w:val="ListBullet"/>
        <w:ind w:left="880"/>
      </w:pPr>
      <w:r>
        <w:t>二</w:t>
        <w:br/>
        <w:t>視覚、聴覚、音声機能若しくは言語機能若しくは精神の機能の障害又は麻薬、あへん若しくは大麻の中毒者であるかないかに関する医師の診断書</w:t>
      </w:r>
    </w:p>
    <w:p>
      <w:pPr>
        <w:pStyle w:val="Heading4"/>
      </w:pPr>
      <w:r>
        <w:t>第二条（名簿の登録事項）</w:t>
      </w:r>
    </w:p>
    <w:p>
      <w:r>
        <w:t>令第二条第五号の規定により、同条第一号から第四号までに掲げる事項以外で視能訓練士名簿に登録する事項は、次のとおりとする。</w:t>
      </w:r>
    </w:p>
    <w:p>
      <w:pPr>
        <w:pStyle w:val="ListBullet"/>
        <w:ind w:left="880"/>
      </w:pPr>
      <w:r>
        <w:t>一</w:t>
        <w:br/>
        <w:t>再免許の場合には、その旨</w:t>
      </w:r>
    </w:p>
    <w:p>
      <w:pPr>
        <w:pStyle w:val="ListBullet"/>
        <w:ind w:left="880"/>
      </w:pPr>
      <w:r>
        <w:t>二</w:t>
        <w:br/>
        <w:t>免許証を書換え交付し、又は再交付した場合には、その旨並びにその理由及び年月日</w:t>
      </w:r>
    </w:p>
    <w:p>
      <w:pPr>
        <w:pStyle w:val="ListBullet"/>
        <w:ind w:left="880"/>
      </w:pPr>
      <w:r>
        <w:t>三</w:t>
        <w:br/>
        <w:t>登録の消除をした場合には、その旨並びにその理由及び年月日</w:t>
      </w:r>
    </w:p>
    <w:p>
      <w:pPr>
        <w:pStyle w:val="Heading4"/>
      </w:pPr>
      <w:r>
        <w:t>第三条（名簿の訂正の申請手続）</w:t>
      </w:r>
    </w:p>
    <w:p>
      <w:r>
        <w:t>令第三条第二項の名簿の訂正の申請書は、様式第二号によるものとする。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住民基本台帳法第三十条の四十五に規定する国籍等を記載したものに限る。第五条第二項において同じ。）及び令第三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第四条（免許証の様式）</w:t>
      </w:r>
    </w:p>
    <w:p>
      <w:r>
        <w:t>法第六条第二項の免許証は、様式第三号によるものとする。</w:t>
      </w:r>
    </w:p>
    <w:p>
      <w:pPr>
        <w:pStyle w:val="Heading4"/>
      </w:pPr>
      <w:r>
        <w:t>第五条（免許証の書換え交付申請）</w:t>
      </w:r>
    </w:p>
    <w:p>
      <w:r>
        <w:t>令第五条第二項の免許証の書換え交付の申請書は、様式第二号によるものとする。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第六条（免許証の再交付申請）</w:t>
      </w:r>
    </w:p>
    <w:p>
      <w:r>
        <w:t>令第六条第二項の免許証の再交付の申請書は、様式第四号によるものとする。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令第六条第三項の手数料の額は、三千百円とする。</w:t>
      </w:r>
    </w:p>
    <w:p>
      <w:pPr>
        <w:pStyle w:val="Heading4"/>
      </w:pPr>
      <w:r>
        <w:t>第七条（登録免許税及び手数料の納付）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2"/>
      </w:pPr>
      <w:r>
        <w:t>第二章　試験</w:t>
      </w:r>
    </w:p>
    <w:p>
      <w:pPr>
        <w:pStyle w:val="Heading4"/>
      </w:pPr>
      <w:r>
        <w:t>第八条（試験科目）</w:t>
      </w:r>
    </w:p>
    <w:p>
      <w:r>
        <w:t>視能訓練士国家試験（以下「試験」という。）の科目は、次のとおりとする。</w:t>
      </w:r>
    </w:p>
    <w:p>
      <w:pPr>
        <w:pStyle w:val="ListBullet"/>
        <w:ind w:left="880"/>
      </w:pPr>
      <w:r>
        <w:t>一</w:t>
        <w:br/>
        <w:t>基礎医学大要</w:t>
      </w:r>
    </w:p>
    <w:p>
      <w:pPr>
        <w:pStyle w:val="ListBullet"/>
        <w:ind w:left="880"/>
      </w:pPr>
      <w:r>
        <w:t>二</w:t>
        <w:br/>
        <w:t>基礎視能矯正学</w:t>
      </w:r>
    </w:p>
    <w:p>
      <w:pPr>
        <w:pStyle w:val="ListBullet"/>
        <w:ind w:left="880"/>
      </w:pPr>
      <w:r>
        <w:t>三</w:t>
        <w:br/>
        <w:t>視能検査学</w:t>
      </w:r>
    </w:p>
    <w:p>
      <w:pPr>
        <w:pStyle w:val="ListBullet"/>
        <w:ind w:left="880"/>
      </w:pPr>
      <w:r>
        <w:t>四</w:t>
        <w:br/>
        <w:t>視能障害学</w:t>
      </w:r>
    </w:p>
    <w:p>
      <w:pPr>
        <w:pStyle w:val="ListBullet"/>
        <w:ind w:left="880"/>
      </w:pPr>
      <w:r>
        <w:t>五</w:t>
        <w:br/>
        <w:t>視能訓練学</w:t>
      </w:r>
    </w:p>
    <w:p>
      <w:pPr>
        <w:pStyle w:val="Heading4"/>
      </w:pPr>
      <w:r>
        <w:t>第九条（試験施行期日等の公告）</w:t>
      </w:r>
    </w:p>
    <w:p>
      <w:r>
        <w:t>試験を施行する期日及び場所並びに受験願書の提出期限は、あらかじめ、官報で公告する。</w:t>
      </w:r>
    </w:p>
    <w:p>
      <w:pPr>
        <w:pStyle w:val="Heading4"/>
      </w:pPr>
      <w:r>
        <w:t>第十条（受験の申請）</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法第十四条第一号又は第二号に該当する者であるときは、修業証明書又は卒業証明書</w:t>
      </w:r>
    </w:p>
    <w:p>
      <w:pPr>
        <w:pStyle w:val="ListBullet"/>
        <w:ind w:left="880"/>
      </w:pPr>
      <w:r>
        <w:t>二</w:t>
        <w:br/>
        <w:t>法第十四条第三号に該当する者であるときは、外国の視能訓練に関する学校若しくは養成所を卒業し、又は外国で視能訓練士の免許に相当する免許を受けた者であることを証する書面</w:t>
      </w:r>
    </w:p>
    <w:p>
      <w:pPr>
        <w:pStyle w:val="ListBullet"/>
        <w:ind w:left="880"/>
      </w:pPr>
      <w:r>
        <w:t>三</w:t>
        <w:b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受験を出願する者は、手数料として一万五千八百円を納めなければならない。</w:t>
      </w:r>
    </w:p>
    <w:p>
      <w:pPr>
        <w:pStyle w:val="Heading4"/>
      </w:pPr>
      <w:r>
        <w:t>第十一条（法第十四条第二号の厚生労働省令で定める学校又は養成所）</w:t>
      </w:r>
    </w:p>
    <w:p>
      <w:r>
        <w:t>法第十四条第二号の厚生労働省令で定める学校又は養成所は、次の各号のとおりとする。</w:t>
      </w:r>
    </w:p>
    <w:p>
      <w:pPr>
        <w:pStyle w:val="ListBullet"/>
        <w:ind w:left="880"/>
      </w:pPr>
      <w:r>
        <w:t>一</w:t>
        <w:br/>
        <w:t>児童福祉法（昭和二十二年法律第百六十四号）第十八条の六第一号の規定により指定されている保育士を養成する学校その他の施設</w:t>
      </w:r>
    </w:p>
    <w:p>
      <w:pPr>
        <w:pStyle w:val="ListBullet"/>
        <w:ind w:left="880"/>
      </w:pPr>
      <w:r>
        <w:t>二</w:t>
        <w:br/>
        <w:t>保健師助産師看護師法（昭和二十三年法律第二百三号）第二十一条第一号、第二号又は第三号の規定により指定されている大学、学校又は看護師養成所</w:t>
      </w:r>
    </w:p>
    <w:p>
      <w:pPr>
        <w:pStyle w:val="Heading4"/>
      </w:pPr>
      <w:r>
        <w:t>第十二条（合格証書の交付）</w:t>
      </w:r>
    </w:p>
    <w:p>
      <w:r>
        <w:t>試験に合格した者には、合格証書を交付する。</w:t>
      </w:r>
    </w:p>
    <w:p>
      <w:pPr>
        <w:pStyle w:val="Heading4"/>
      </w:pPr>
      <w:r>
        <w:t>第十三条（合格証明書の交付及び手数料）</w:t>
      </w:r>
    </w:p>
    <w:p>
      <w:r>
        <w:t>試験に合格した者は、合格証明書の交付を申請することができる。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前項の規定によつて試験の合格証明書の交付を申請する者は、手数料として二千九百五十円を納めなければならない。</w:t>
      </w:r>
    </w:p>
    <w:p>
      <w:pPr>
        <w:pStyle w:val="Heading4"/>
      </w:pPr>
      <w:r>
        <w:t>第十四条（手数料の納入方法）</w:t>
      </w:r>
    </w:p>
    <w:p>
      <w:r>
        <w:t>第十条第一項又は前条第一項の規定による出願又は申請をする者は、手数料の額に相当する収入印紙を受験願書又は申請書にはらなければならない。</w:t>
      </w:r>
    </w:p>
    <w:p>
      <w:pPr>
        <w:pStyle w:val="Heading2"/>
      </w:pPr>
      <w:r>
        <w:t>第三章　業務</w:t>
      </w:r>
    </w:p>
    <w:p>
      <w:pPr>
        <w:pStyle w:val="Heading4"/>
      </w:pPr>
      <w:r>
        <w:t>第十四条の二（法第十七条第一項の厚生労働省令で定める検査）</w:t>
      </w:r>
    </w:p>
    <w:p>
      <w:r>
        <w:t>法第十七条第一項の厚生労働省令で定める検査は、涙道通水通色素検査（色素を点眼するものを除く。）とする。</w:t>
      </w:r>
    </w:p>
    <w:p>
      <w:pPr>
        <w:pStyle w:val="Heading4"/>
      </w:pPr>
      <w:r>
        <w:t>第十五条（法第十八条の厚生労働省令で定める矯正訓練又は検査）</w:t>
      </w:r>
    </w:p>
    <w:p>
      <w:r>
        <w:t>法第十八条の厚生労働省令で定める矯正訓練又は検査は次のとおりとする。</w:t>
        <w:br/>
        <w:t>矯正訓練</w:t>
        <w:br/>
        <w:t>抑制除去訓練法</w:t>
        <w:br/>
        <w:t>異常対応矯正法</w:t>
        <w:br/>
        <w:t>眩惑刺激法</w:t>
        <w:br/>
        <w:t>残像法</w:t>
        <w:br/>
        <w:t>検査</w:t>
        <w:br/>
        <w:t>散瞳どう</w:t>
        <w:br/>
        <w:t>薬の使用</w:t>
        <w:br/>
        <w:t>眼底写真撮影</w:t>
        <w:br/>
        <w:t>網膜電図検査</w:t>
        <w:br/>
        <w:t>眼球電図検査</w:t>
        <w:br/>
        <w:t>眼振電図検査</w:t>
        <w:br/>
        <w:t>視覚誘発脳波検査</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法附則第二項の規定により試験を受けようとする者が、受験願書に添えなければならない書類は、第十条第二項の規定にかかわらず、次のとおりとする。</w:t>
      </w:r>
    </w:p>
    <w:p>
      <w:pPr>
        <w:pStyle w:val="ListBullet"/>
        <w:ind w:left="880"/>
      </w:pPr>
      <w:r>
        <w:t>一</w:t>
        <w:br/>
        <w:t>法附則第二項に該当する者であることを証する書類</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法附則第三項の規定により試験を受けようとする者が、受験願書に添えなければならない書類は、第十条第二項の規定にかかわらず、次のとおりとする。</w:t>
      </w:r>
    </w:p>
    <w:p>
      <w:pPr>
        <w:pStyle w:val="ListBullet"/>
        <w:ind w:left="880"/>
      </w:pPr>
      <w:r>
        <w:t>一</w:t>
        <w:br/>
        <w:t>履歴書</w:t>
      </w:r>
    </w:p>
    <w:p>
      <w:pPr>
        <w:pStyle w:val="ListBullet"/>
        <w:ind w:left="880"/>
      </w:pPr>
      <w:r>
        <w:t>二</w:t>
        <w:br/>
        <w:t>学校教育法（昭和二十二年法律第二十六号）第五十六条第一項の規定により大学に入学することができる者（法附則第五項の規定により大学に入学することができる者とみなされる者を含む。）若しくは令附則第二項に該当する者又は法附則第四項に該当する者であることを証する書類</w:t>
      </w:r>
    </w:p>
    <w:p>
      <w:pPr>
        <w:pStyle w:val="ListBullet"/>
        <w:ind w:left="880"/>
      </w:pPr>
      <w:r>
        <w:t>三</w:t>
        <w:br/>
        <w:t>法附則第三項第二号に規定する講習会の課程を修了したことを証する書類</w:t>
      </w:r>
    </w:p>
    <w:p>
      <w:pPr>
        <w:pStyle w:val="ListBullet"/>
        <w:ind w:left="880"/>
      </w:pPr>
      <w:r>
        <w:t>四</w:t>
        <w:br/>
        <w:t>昭和四十六年七月十九日において病院又は診療所で医師の指示の下に両眼視機能の回復のための矯正訓練及びこれに必要な検査を業として行なつている者であること及び病院又は診療所で医師の指示の下に両眼視機能の回復のための矯正訓練及びこれに必要な検査を五年（法附則第四項に該当する者にあつては、三年）以上業として行なつていたことを証する書類</w:t>
      </w:r>
    </w:p>
    <w:p>
      <w:pPr>
        <w:pStyle w:val="ListBullet"/>
        <w:ind w:left="880"/>
      </w:pPr>
      <w:r>
        <w:t>五</w:t>
        <w:b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法附則第四項の厚生省令で定める学校又は養成所は、次のとおりとする。</w:t>
      </w:r>
    </w:p>
    <w:p>
      <w:pPr>
        <w:pStyle w:val="ListBullet"/>
        <w:ind w:left="880"/>
      </w:pPr>
      <w:r>
        <w:t>一</w:t>
        <w:br/>
        <w:t>児童福祉法第十八条の六第一号の規定により指定されている保育士を養成する学校その他の施設</w:t>
      </w:r>
    </w:p>
    <w:p>
      <w:pPr>
        <w:pStyle w:val="ListBullet"/>
        <w:ind w:left="880"/>
      </w:pPr>
      <w:r>
        <w:t>二</w:t>
        <w:br/>
        <w:t>保健婦助産婦看護婦法第二十一条第一号又は第二号の規定により指定されている学校又は看護婦養成所</w:t>
      </w:r>
    </w:p>
    <w:p>
      <w:pPr>
        <w:pStyle w:val="Heading5"/>
        <w:ind w:left="440"/>
      </w:pPr>
      <w:r>
        <w:t>５</w:t>
      </w:r>
    </w:p>
    <w:p>
      <w:pPr>
        <w:ind w:left="440"/>
      </w:pPr>
      <w:r>
        <w:t>法附則第五項の中等学校を卒業した者と同等以上の学力があると認められる者は、次のとおりとする。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昭和十八年勅令第三十六号）による高等女学校卒業を入学資格とする旧中等学校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旧高等試験令（昭和四年勅令第十五号）第七条の規定により文部大臣が中学校卒業程度において行なう試験に合格した者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前各号に掲げる者のほか、厚生労働大臣において、試験の受験に関し中等学校の卒業者と同等以上の学力を有するものと指定した者</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附則（平成元年三月二八日厚生省令第一四号）</w:t>
      </w:r>
    </w:p>
    <w:p>
      <w:r>
        <w:t>この省令は、平成元年四月一日から施行する。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附則（平成五年四月二八日厚生省令第二四号）</w:t>
      </w:r>
    </w:p>
    <w:p>
      <w:pPr>
        <w:pStyle w:val="Heading5"/>
        <w:ind w:left="440"/>
      </w:pPr>
      <w:r>
        <w:t>１</w:t>
      </w:r>
    </w:p>
    <w:p>
      <w:pPr>
        <w:ind w:left="440"/>
      </w:pPr>
      <w:r>
        <w:t>この省令は、公布の日から施行する。</w:t>
      </w:r>
    </w:p>
    <w:p>
      <w:pPr>
        <w:pStyle w:val="Heading5"/>
        <w:ind w:left="440"/>
      </w:pPr>
      <w:r>
        <w:t>２</w:t>
      </w:r>
    </w:p>
    <w:p>
      <w:pPr>
        <w:ind w:left="440"/>
      </w:pPr>
      <w:r>
        <w:t>公布の日から起算して一月を経過する日までの間は、改正後の第十五条の規定中「眼球電図検査」とあるのは「法第十七条第一項の眼科検査に係る眼球電図検査」と読み替えるものとする。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附則（平成一〇年二月一八日厚生省令第一六号）</w:t>
      </w:r>
    </w:p>
    <w:p>
      <w:pPr>
        <w:pStyle w:val="Heading4"/>
      </w:pPr>
      <w:r>
        <w:t>第一条（施行期日）</w:t>
      </w:r>
    </w:p>
    <w:p>
      <w:r>
        <w:t>この省令は、平成十一年四月一日から施行する。</w:t>
      </w:r>
    </w:p>
    <w:p>
      <w:pPr>
        <w:pStyle w:val="Heading4"/>
      </w:pPr>
      <w:r>
        <w:t>第三条（視能訓練士法施行規則の一部改正に伴う経過措置）</w:t>
      </w:r>
    </w:p>
    <w:p>
      <w:r>
        <w:t>この省令の施行前に、第四条の規定による改正前の視能訓練士法施行規則第十一条第二号に規定する施設において修業した期間については、改正後の視能訓練士法施行規則第十一条第二号に規定する施設において修業した期間とみなす。</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附則（平成一三年七月一三日厚生労働省令第一五九号）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附則（平成一六年九月二八日厚生労働省令第一三八号）</w:t>
      </w:r>
    </w:p>
    <w:p>
      <w:r>
        <w:t>この省令は、公布の日から施行する。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視能訓練士法施行規則</w:t>
      <w:br/>
      <w:tab/>
      <w:t>（昭和四十六年厚生省令第二十八号）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視能訓練士法施行規則（昭和四十六年厚生省令第二十八号）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