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計量法附則第十九条第一項の日を定める政令</w:t>
        <w:br/>
        <w:t>（平成五年政令第三百三十号）</w:t>
      </w:r>
    </w:p>
    <w:p>
      <w:r>
        <w:t>計量法（以下「法」という。）附則第十九条第一項の政令で定める日は、次の各号に掲げる特定計量器を製造する者については、当該各号に定める日とする。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タクシーメーター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皮革面積計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密度浮ひょう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最大需要電力計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電力量計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無効電力量計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照度計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騒音計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振動レベル計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浮ひょう型比重計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附則第十九条第一項の政令で定める日は、次の各号に掲げる特定計量器を製造する者については、法第四十条第一項の通商産業省令で定める事業の区分ごとに、当該各号に掲げる日のいずれか通商産業省令で定め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質量計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温度計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体積計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アネロイド型圧力計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熱量計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濃度計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この政令は、法の施行の日（平成五年十一月一日）から施行する。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計量法附則第十九条第一項の日を定める政令</w:t>
      <w:br/>
      <w:tab/>
      <w:t>（平成五年政令第三百三十号）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計量法附則第十九条第一項の日を定める政令（平成五年政令第三百三十号）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