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訪問看護療養費及び公費負担医療に関する費用の請求に関する省令</w:t>
        <w:br/>
        <w:t>（平成四年厚生省令第五号）</w:t>
      </w:r>
    </w:p>
    <w:p>
      <w:pPr>
        <w:pStyle w:val="Heading4"/>
      </w:pPr>
      <w:r>
        <w:t>第一条（訪問看護療養費及び公費負担医療に関する費用の請求）</w:t>
      </w:r>
    </w:p>
    <w:p>
      <w:r>
        <w:t>指定訪問看護事業者は、訪問看護療養費（家族訪問看護療養費及び健康保険法（大正十一年法律第七十号）第百四十五条に規定する特別療養費を含む。以下同じ。）の支給又は次に掲げる医療に関する給付（以下「公費負担医療」という。）に関し費用を請求しようとするときは、当該指定に係る訪問看護事業を行う事業所（以下「訪問看護ステーション」という。）ごとに、訪問看護療養費請求書に訪問看護療養費明細書を添えて、これを当該訪問看護療養費請求書の審査支払機関に提出しなければならない。</w:t>
      </w:r>
    </w:p>
    <w:p>
      <w:pPr>
        <w:pStyle w:val="Heading6"/>
        <w:ind w:left="880"/>
      </w:pPr>
      <w:r>
        <w:t>一</w:t>
      </w:r>
    </w:p>
    <w:p>
      <w:pPr>
        <w:ind w:left="880"/>
      </w:pPr>
      <w:r>
        <w:t>児童福祉法（昭和二十二年法律第百六十四号）第十九条の二第一項の小児慢性特定疾病医療費の支給</w:t>
      </w:r>
    </w:p>
    <w:p>
      <w:pPr>
        <w:pStyle w:val="Heading6"/>
        <w:ind w:left="880"/>
      </w:pPr>
      <w:r>
        <w:t>二</w:t>
      </w:r>
    </w:p>
    <w:p>
      <w:pPr>
        <w:ind w:left="880"/>
      </w:pPr>
      <w: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削除</w:t>
      </w:r>
    </w:p>
    <w:p>
      <w:pPr>
        <w:pStyle w:val="Heading6"/>
        <w:ind w:left="880"/>
      </w:pPr>
      <w:r>
        <w:t>四</w:t>
      </w:r>
    </w:p>
    <w:p>
      <w:pPr>
        <w:ind w:left="880"/>
      </w:pPr>
      <w:r>
        <w:t>生活保護法（昭和二十五年法律第百四十四号）第十五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の医療扶助又は医療支援給付</w:t>
      </w:r>
    </w:p>
    <w:p>
      <w:pPr>
        <w:pStyle w:val="Heading6"/>
        <w:ind w:left="880"/>
      </w:pPr>
      <w:r>
        <w:t>五</w:t>
      </w:r>
    </w:p>
    <w:p>
      <w:pPr>
        <w:ind w:left="880"/>
      </w:pPr>
      <w:r>
        <w:t>削除</w:t>
      </w:r>
    </w:p>
    <w:p>
      <w:pPr>
        <w:pStyle w:val="Heading6"/>
        <w:ind w:left="880"/>
      </w:pPr>
      <w:r>
        <w:t>六</w:t>
      </w:r>
    </w:p>
    <w:p>
      <w:pPr>
        <w:ind w:left="880"/>
      </w:pPr>
      <w:r>
        <w:t>原子爆弾被爆者に対する援護に関する法律（平成六年法律第百十七号）第十条の医療の給付又は同法第十八条の一般疾病医療費の支給</w:t>
      </w:r>
    </w:p>
    <w:p>
      <w:pPr>
        <w:pStyle w:val="Heading6"/>
        <w:ind w:left="880"/>
      </w:pPr>
      <w:r>
        <w:t>七</w:t>
      </w:r>
    </w:p>
    <w:p>
      <w:pPr>
        <w:ind w:left="880"/>
      </w:pPr>
      <w:r>
        <w:t>戦傷病者特別援護法（昭和三十八年法律第百六十八号）第十条の療養の給付又は同法第二十条の更生医療の給付</w:t>
      </w:r>
    </w:p>
    <w:p>
      <w:pPr>
        <w:pStyle w:val="Heading6"/>
        <w:ind w:left="880"/>
      </w:pPr>
      <w:r>
        <w:t>七の二</w:t>
      </w:r>
    </w:p>
    <w:p>
      <w:pPr>
        <w:ind w:left="880"/>
      </w:pPr>
      <w:r>
        <w:t>石綿による健康被害の救済に関する法律（平成十八年法律第四号）第四条第一項の医療費の支給</w:t>
      </w:r>
    </w:p>
    <w:p>
      <w:pPr>
        <w:pStyle w:val="Heading6"/>
        <w:ind w:left="880"/>
      </w:pPr>
      <w:r>
        <w:t>七の三</w:t>
      </w:r>
    </w:p>
    <w:p>
      <w:pPr>
        <w:ind w:left="880"/>
      </w:pPr>
      <w:r>
        <w:t>難病の患者に対する医療等に関する法律（平成二十六年法律第五十号）第五条第一項の特定医療費の支給</w:t>
      </w:r>
    </w:p>
    <w:p>
      <w:pPr>
        <w:pStyle w:val="Heading6"/>
        <w:ind w:left="880"/>
      </w:pPr>
      <w:r>
        <w:t>八</w:t>
      </w:r>
    </w:p>
    <w:p>
      <w:pPr>
        <w:ind w:left="880"/>
      </w:pPr>
      <w:r>
        <w:t>前各号に掲げるもののほか医療に関する給付であつて厚生労働大臣が定めるもの</w:t>
      </w:r>
    </w:p>
    <w:p>
      <w:pPr>
        <w:pStyle w:val="Heading4"/>
      </w:pPr>
      <w:r>
        <w:t>第二条（訪問看護療養費請求書等の様式）</w:t>
      </w:r>
    </w:p>
    <w:p>
      <w:r>
        <w:t>前条の訪問看護療養費請求書及び訪問看護療養費明細書は、厚生労働大臣が定める様式による。</w:t>
      </w:r>
    </w:p>
    <w:p>
      <w:pPr>
        <w:pStyle w:val="Heading4"/>
      </w:pPr>
      <w:r>
        <w:t>第三条（訪問看護療養費請求書の提出日）</w:t>
      </w:r>
    </w:p>
    <w:p>
      <w:r>
        <w:t>第一条の訪問看護療養費請求書は、各月分について翌月十日までに提出しなければならない。</w:t>
      </w:r>
    </w:p>
    <w:p>
      <w:r>
        <w:br w:type="page"/>
      </w:r>
    </w:p>
    <w:p>
      <w:pPr>
        <w:pStyle w:val="Heading1"/>
      </w:pPr>
      <w:r>
        <w:t>附　則</w:t>
      </w:r>
    </w:p>
    <w:p>
      <w:r>
        <w:t>この省令は、平成四年四月一日から施行する。</w:t>
      </w:r>
    </w:p>
    <w:p>
      <w:r>
        <w:br w:type="page"/>
      </w:r>
    </w:p>
    <w:p>
      <w:pPr>
        <w:pStyle w:val="Heading1"/>
      </w:pPr>
      <w:r>
        <w:t>附　則（平成五年一一月二六日厚生省令第四八号）</w:t>
      </w:r>
    </w:p>
    <w:p>
      <w:r>
        <w:t>この省令は、保健婦助産婦看護婦法の一部を改正する法律の施行の日（平成五年十一月二十九日）から施行する。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則（平成六年三月二九日厚生省令第一八号）</w:t>
      </w:r>
    </w:p>
    <w:p>
      <w:r>
        <w:t>この省令は、平成六年四月一日から施行する。</w:t>
      </w:r>
    </w:p>
    <w:p>
      <w:pPr>
        <w:pStyle w:val="Heading5"/>
        <w:ind w:left="440"/>
      </w:pPr>
      <w:r>
        <w:t>２</w:t>
      </w:r>
    </w:p>
    <w:p>
      <w:pPr>
        <w:ind w:left="440"/>
      </w:pPr>
      <w:r>
        <w:t>平成六年四月一日前に行われた指定老人訪問看護に関する費用の請求については、なお従前の例による。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　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　則（平成七年六月三〇日厚生省令第四七号）</w:t>
      </w:r>
    </w:p>
    <w:p>
      <w:r>
        <w:t>この省令は、平成七年七月一日から施行する。</w:t>
      </w:r>
    </w:p>
    <w:p>
      <w:r>
        <w:br w:type="page"/>
      </w:r>
    </w:p>
    <w:p>
      <w:pPr>
        <w:pStyle w:val="Heading1"/>
      </w:pPr>
      <w:r>
        <w:t>附　則（平成八年四月一二日厚生省令第二五号）</w:t>
      </w:r>
    </w:p>
    <w:p>
      <w:r>
        <w:t>この省令は、公布の日から施行する。</w:t>
      </w:r>
    </w:p>
    <w:p>
      <w:pPr>
        <w:pStyle w:val="Heading5"/>
        <w:ind w:left="440"/>
      </w:pPr>
      <w:r>
        <w:t>２</w:t>
      </w:r>
    </w:p>
    <w:p>
      <w:pPr>
        <w:ind w:left="440"/>
      </w:pPr>
      <w:r>
        <w:t>平成八年四月一日前に行われた指定老人訪問看護及び指定訪問看護に関する費用の請求については、なお従前の例による。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則（平成八年一二月二四日厚生省令第七二号）</w:t>
      </w:r>
    </w:p>
    <w:p>
      <w:r>
        <w:t>この省令は、平成九年四月一日から施行する。</w:t>
      </w:r>
    </w:p>
    <w:p>
      <w:pPr>
        <w:pStyle w:val="Heading5"/>
        <w:ind w:left="440"/>
      </w:pPr>
      <w:r>
        <w:t>２</w:t>
      </w:r>
    </w:p>
    <w:p>
      <w:pPr>
        <w:ind w:left="440"/>
      </w:pPr>
      <w:r>
        <w:t>平成九年四月一日前に行われた指定老人訪問看護及び指定訪問看護に関する費用の請求については、なお従前の例による。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この省令の施行の際現にある改正前の様式による用紙については、当分の間、これを使用することができる。</w:t>
      </w:r>
    </w:p>
    <w:p>
      <w:r>
        <w:br w:type="page"/>
      </w:r>
    </w:p>
    <w:p>
      <w:pPr>
        <w:pStyle w:val="Heading1"/>
      </w:pPr>
      <w:r>
        <w:t>附　則（平成九年八月二五日厚生省令第六四号）</w:t>
      </w:r>
    </w:p>
    <w:p>
      <w:r>
        <w:t>この省令は、平成九年九月一日から施行する。</w:t>
      </w:r>
    </w:p>
    <w:p>
      <w:pPr>
        <w:pStyle w:val="Heading5"/>
        <w:ind w:left="440"/>
      </w:pPr>
      <w:r>
        <w:t>２</w:t>
      </w:r>
    </w:p>
    <w:p>
      <w:pPr>
        <w:ind w:left="440"/>
      </w:pPr>
      <w:r>
        <w:t>平成九年九月一日前に行われた指定老人訪問看護及び指定訪問看護に関する費用の請求については、なお従前の例による。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則（平成一〇年三月二四日厚生省令第二六号）</w:t>
      </w:r>
    </w:p>
    <w:p>
      <w:r>
        <w:t>この省令は、平成十年四月一日から施行する。</w:t>
      </w:r>
    </w:p>
    <w:p>
      <w:pPr>
        <w:pStyle w:val="Heading5"/>
        <w:ind w:left="440"/>
      </w:pPr>
      <w:r>
        <w:t>２</w:t>
      </w:r>
    </w:p>
    <w:p>
      <w:pPr>
        <w:ind w:left="440"/>
      </w:pPr>
      <w:r>
        <w:t>平成十年四月一日前に行われた指定老人訪問看護及び指定訪問看護に関する費用の請求については、なお従前の例による。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第二十六条（老人訪問看護療養費、訪問看護療養費等の請求に関する省令の一部改正に伴う経過措置）</w:t>
      </w:r>
    </w:p>
    <w:p>
      <w:r>
        <w:t>施行日前に行われた指定老人訪問看護に関する費用の請求については、なお従前の例による。</w:t>
      </w:r>
    </w:p>
    <w:p>
      <w:pPr>
        <w:pStyle w:val="Heading5"/>
        <w:ind w:left="440"/>
      </w:pPr>
      <w:r>
        <w:t>２</w:t>
      </w:r>
    </w:p>
    <w:p>
      <w:pPr>
        <w:ind w:left="440"/>
      </w:pPr>
      <w:r>
        <w:t>この省令の施行の際現にある第二十三条の規定による改正前の老人訪問看護療養費、訪問看護療養費等の請求に関する省令の様式による用紙については、当分の間、これを取り繕って使用することができる。</w:t>
      </w:r>
    </w:p>
    <w:p>
      <w:r>
        <w:br w:type="page"/>
      </w:r>
    </w:p>
    <w:p>
      <w:pPr>
        <w:pStyle w:val="Heading1"/>
      </w:pPr>
      <w:r>
        <w:t>附　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　則（平成一二年三月三一日厚生省令第八四号）</w:t>
      </w:r>
    </w:p>
    <w:p>
      <w:r>
        <w:t>この省令は、平成十二年四月一日から施行する。</w:t>
      </w:r>
    </w:p>
    <w:p>
      <w:pPr>
        <w:pStyle w:val="Heading5"/>
        <w:ind w:left="440"/>
      </w:pPr>
      <w:r>
        <w:t>２</w:t>
      </w:r>
    </w:p>
    <w:p>
      <w:pPr>
        <w:ind w:left="440"/>
      </w:pPr>
      <w:r>
        <w:t>平成十二年四月一日前に行われた指定老人訪問看護及び指定訪問看護に関する費用の請求については、なお従前の例による。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　則（平成一四年九月一二日厚生労働省令第一二〇号）</w:t>
      </w:r>
    </w:p>
    <w:p>
      <w:pPr>
        <w:pStyle w:val="Heading4"/>
      </w:pPr>
      <w:r>
        <w:t>第一条（施行期日）</w:t>
      </w:r>
    </w:p>
    <w:p>
      <w:r>
        <w:t>この省令は、平成十四年十月一日から施行する。</w:t>
      </w:r>
    </w:p>
    <w:p>
      <w:pPr>
        <w:pStyle w:val="Heading4"/>
      </w:pPr>
      <w:r>
        <w:t>第三条（老人訪問看護療養費、訪問看護療養費等の請求に関する省令の一部改正に伴う経過措置）</w:t>
      </w:r>
    </w:p>
    <w:p>
      <w:r>
        <w:t>平成十四年十月一日前に行われた指定老人訪問看護及び指定訪問看護に関する費用の請求については、なお従前の例による。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則（平成一六年三月三〇日厚生労働省令第六五号）</w:t>
      </w:r>
    </w:p>
    <w:p>
      <w:r>
        <w:t>この省令は、平成十六年四月一日から施行する。</w:t>
      </w:r>
    </w:p>
    <w:p>
      <w:pPr>
        <w:pStyle w:val="Heading5"/>
        <w:ind w:left="440"/>
      </w:pPr>
      <w:r>
        <w:t>２</w:t>
      </w:r>
    </w:p>
    <w:p>
      <w:pPr>
        <w:ind w:left="440"/>
      </w:pPr>
      <w:r>
        <w:t>平成十六年四月一日前に行われた療養の給付、老人医療及び公費負担医療に関する費用の請求並びに指定老人訪問看護及び指定訪問看護に関する費用の請求については、なお従前の例による。</w:t>
      </w:r>
    </w:p>
    <w:p>
      <w:pPr>
        <w:pStyle w:val="Heading5"/>
        <w:ind w:left="440"/>
      </w:pPr>
      <w:r>
        <w:t>４</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則（平成一八年三月二〇日厚生労働省令第四三号）</w:t>
      </w:r>
    </w:p>
    <w:p>
      <w:r>
        <w:t>この省令は、平成十八年四月一日から施行する。</w:t>
      </w:r>
    </w:p>
    <w:p>
      <w:r>
        <w:br w:type="page"/>
      </w:r>
    </w:p>
    <w:p>
      <w:pPr>
        <w:pStyle w:val="Heading1"/>
      </w:pPr>
      <w:r>
        <w:t>附　則（平成一八年三月二四日厚生労働省令第四六号）</w:t>
      </w:r>
    </w:p>
    <w:p>
      <w:r>
        <w:t>この省令は、平成十八年三月二十七日から施行する。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第十一条（老人訪問看護療養費、訪問看護療養費等の請求に関する省令の一部改正に伴う経過措置）</w:t>
      </w:r>
    </w:p>
    <w:p>
      <w:r>
        <w:t>施行日前に行われた指定老人訪問看護及び指定訪問看護に関する費用の請求については、なお従前の例による。</w:t>
      </w:r>
    </w:p>
    <w:p>
      <w:pPr>
        <w:pStyle w:val="Heading5"/>
        <w:ind w:left="440"/>
      </w:pPr>
      <w:r>
        <w:t>２</w:t>
      </w:r>
    </w:p>
    <w:p>
      <w:pPr>
        <w:ind w:left="440"/>
      </w:pPr>
      <w:r>
        <w:t>この省令の施行の際現にある第十八条の規定による改正前の様式による用紙については、当分の間、これを取り繕って使用することができる。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則（平成二〇年三月五日厚生労働省令第二七号）</w:t>
      </w:r>
    </w:p>
    <w:p>
      <w:r>
        <w:t>この省令は、平成二十年四月一日から施行する。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訪問看護療養費及び公費負担医療に関する費用の請求に関する省令</w:t>
      <w:br/>
      <w:tab/>
      <w:t>（平成四年厚生省令第五号）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訪問看護療養費及び公費負担医療に関する費用の請求に関する省令（平成四年厚生省令第五号）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