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証券取引等監視委員会の職員が検査及び犯則事件の調査をするときに携帯すべき証票等の様式を定める内閣府令</w:t>
        <w:br/>
        <w:t>（平成四年大蔵省令第六十八号）</w:t>
      </w:r>
    </w:p>
    <w:p>
      <w:pPr>
        <w:pStyle w:val="Heading4"/>
      </w:pPr>
      <w:r>
        <w:t>第一条（検査をするときに携帯すべき証票の様式）</w:t>
      </w:r>
    </w:p>
    <w:p>
      <w:r>
        <w:t>金融商品取引法（昭和二十三年法律第二十五号）第百九十条第一項、投資信託及び投資法人に関する法律（昭和二十六年法律第百九十八号）第二十二条第二項（同法第二百十三条第六項において準用する場合を含む。）、預金保険法（昭和四十六年法律第三十四号）第百三十七条第三項、資産の流動化に関する法律（平成十年法律第百五号）第二百十七条第二項（同法第二百九条（同法第二百八十六条第一項において準用する場合を含む。）において準用する場合を含む。）、社債、株式等の振替に関する法律（平成十三年法律第七十五号）第二十条第二項及び犯罪による収益の移転防止に関する法律（平成十九年法律第二十二号）第十六条第二項の規定により証券取引等監視委員会（以下「委員会」という。）の職員（委員会の委任を受けた財務局長又は財務支局長の命を受けた職員を含む。）が検査をするときに携帯すべきその身分を示す証票又は証明書は、次の各号に掲げる法律の規定による検査の区分に応じ、当該各号に定めるものとする。</w:t>
      </w:r>
    </w:p>
    <w:p>
      <w:pPr>
        <w:pStyle w:val="ListBullet"/>
        <w:ind w:left="880"/>
      </w:pPr>
      <w:r>
        <w:t>一</w:t>
        <w:br/>
        <w:t>次に掲げる法律の規定による検査</w:t>
        <w:br/>
        <w:br/>
        <w:br/>
        <w:t>別紙様式第一</w:t>
      </w:r>
    </w:p>
    <w:p>
      <w:pPr>
        <w:pStyle w:val="ListBullet"/>
        <w:ind w:left="880"/>
      </w:pPr>
      <w:r>
        <w:t>二</w:t>
        <w:br/>
        <w:t>金融商品取引法第二十六条第一項（同法第二十七条において準用する場合を含む。）、第二十七条の二十二第一項（同法第二十七条の二十二の二第二項において準用する場合を含む。）及び第二項、第二十七条の三十第一項、第二十七条の三十五第一項、第二十七条の三十七第一項並びに第百七十七条第一項第三号の規定による検査</w:t>
        <w:br/>
        <w:br/>
        <w:br/>
        <w:t>別紙様式第一の二</w:t>
      </w:r>
    </w:p>
    <w:p>
      <w:pPr>
        <w:pStyle w:val="Heading4"/>
      </w:pPr>
      <w:r>
        <w:t>第二条（犯則事件の調査をするときに携帯すべき証票の様式）</w:t>
      </w:r>
    </w:p>
    <w:p>
      <w:r>
        <w:t>金融商品取引法第二百十四条（犯罪による収益の移転防止に関する法律第三十二条において準用する場合を含む。）の規定により委員会の職員（金融商品取引法第二百二十四条第二項（犯罪による収益の移転防止に関する法律第三十二条において準用する場合を含む。）の規定により委員会の職員とみなされる財務局又は財務支局の職員を含む。）が犯則事件の調査をするときに携帯すべきその身分を示す証票は、別紙様式第二による。</w:t>
      </w:r>
    </w:p>
    <w:p>
      <w:r>
        <w:br w:type="page"/>
      </w:r>
    </w:p>
    <w:p>
      <w:pPr>
        <w:pStyle w:val="Heading1"/>
      </w:pPr>
      <w:r>
        <w:t>附　則</w:t>
      </w:r>
    </w:p>
    <w:p>
      <w:r>
        <w:t>この省令は、公布の日から施行する。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附則（平成一〇年一一月三〇日総理府・大蔵省令第五三号）</w:t>
      </w:r>
    </w:p>
    <w:p>
      <w:r>
        <w:t>この命令は、金融システム改革のための関係法律の整備等に関する法律の施行の日（平成十年十二月一日）から施行する。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附則（平成一四年一〇月二一日内閣府令第六八号）</w:t>
      </w:r>
    </w:p>
    <w:p>
      <w:r>
        <w:t>この命令は、平成十五年一月六日から施行する。</w:t>
      </w:r>
    </w:p>
    <w:p>
      <w:r>
        <w:br w:type="page"/>
      </w:r>
    </w:p>
    <w:p>
      <w:pPr>
        <w:pStyle w:val="Heading1"/>
      </w:pPr>
      <w:r>
        <w:t>附則（平成一五年四月一日内閣府令第二九号）</w:t>
      </w:r>
    </w:p>
    <w:p>
      <w:r>
        <w:t>この府令は、公布の日から施行する。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附則（平成一七年三月一八日内閣府令第一九号）</w:t>
      </w:r>
    </w:p>
    <w:p>
      <w:r>
        <w:t>この府令は、平成十七年四月一日から施行する。</w:t>
      </w:r>
    </w:p>
    <w:p>
      <w:r>
        <w:br w:type="page"/>
      </w:r>
    </w:p>
    <w:p>
      <w:pPr>
        <w:pStyle w:val="Heading1"/>
      </w:pPr>
      <w:r>
        <w:t>附則（平成一七年六月二九日内閣府令第八〇号）</w:t>
      </w:r>
    </w:p>
    <w:p>
      <w:r>
        <w:t>この府令は、平成十七年七月一日から施行する。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r>
        <w:br w:type="page"/>
      </w:r>
    </w:p>
    <w:p>
      <w:pPr>
        <w:pStyle w:val="Heading1"/>
      </w:pPr>
      <w:r>
        <w:t>附則（平成一九年八月七日内閣府令第五六号）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第五条（証券取引等監視委員会の職員が検査及び犯則事件の調査をするときに携帯すべき証票等の様式を定める内閣府令の一部改正に伴う経過措置）</w:t>
      </w:r>
    </w:p>
    <w:p>
      <w:r>
        <w:t>既登録社債等及び、証券決済制度等の改革による証券市場の整備のための関係法律の整備等に関する法律の施行に伴う関係政令の整備等に関する政令（平成十九年政令第三百六十九号）附則第三条の社債（附則第八条において「旧登録社債等」という。）については、第四条の規定による改正前の証券取引等監視委員会の職員が検査及び犯則事件の調査をするときに携帯すべき証票等の様式を定める内閣府令第一条（第一号に係る部分に限る。）の規定は、なおその効力を有する。</w:t>
      </w:r>
    </w:p>
    <w:p>
      <w:r>
        <w:br w:type="page"/>
      </w:r>
    </w:p>
    <w:p>
      <w:pPr>
        <w:pStyle w:val="Heading1"/>
      </w:pPr>
      <w:r>
        <w:t>附則（平成二〇年二月一三日内閣府令第五号）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十一条中金融商品取引所等に関する内閣府令第五十四条第二項第一号イの改正規定（同号イ（１１）に係る部分（「（令第十九条の三の三第二号ハに規定する子会社をいう。）」を削る部分に限る。）を除く。）、同令第六十条第二項の改正規定、同令第七十一条の改正規定（同条第一号ロに係る部分を除く。）、同令第七十三条第二項の改正規定、同令第百二十条第一項の改正規定（「第百六条の二十四ただし書」を「第百六条の二十四第一項ただし書」に改める部分を除く。）及び同令第百二十一条第一項の改正規定（「第百二十三条」を「第百二十三条第一項又は第二項」に改める部分に限る。）並びに第二十三条中証券取引等監視委員会の職員が検査及び犯則事件の調査をするときに携帯すべき証票等の様式を定める内閣府令第一条第一号イの改正規定（「第百六条の六」を「第百六条の六第一項（同条第二項において準用する場合を含む。）」に改める部分、「第百六条の二十」を「第百六条の二十第一項（同条第二項において準用する場合を含む。）」に改める部分及び「第百六条の二十七」の下に「（同法第百九条において準用する場合を含む。）」を加える部分に限る。）</w:t>
        <w:br/>
        <w:br/>
        <w:br/>
        <w:t>改正法附則第一条第一号に掲げる規定の施行の日</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br/>
        <w:t>ただし、同条の規定は、公布の日から施行する。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附則（平成二八年九月三〇日内閣府令第六一号）</w:t>
      </w:r>
    </w:p>
    <w:p>
      <w:r>
        <w:t>この府令は、犯罪による収益の移転防止に関する法律の一部を改正する法律の施行の日（平成二十八年十月一日）から施行する。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br/>
        <w:t>ただし、次条の規定は、同年三月二十五日から施行する。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証券取引等監視委員会の職員が検査及び犯則事件の調査をするときに携帯すべき証票等の様式を定める内閣府令</w:t>
      <w:br/>
      <w:tab/>
      <w:t>（平成四年大蔵省令第六十八号）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証券取引等監視委員会の職員が検査及び犯則事件の調査をするときに携帯すべき証票等の様式を定める内閣府令（平成四年大蔵省令第六十八号）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