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財務省の所管する法令の規定に基づく民間事業者等が行う書面の保存等における情報通信の技術の利用に関する規則</w:t>
        <w:br/>
        <w:t>（平成十七年財務省令第十六号）</w:t>
      </w:r>
    </w:p>
    <w:p>
      <w:pPr>
        <w:pStyle w:val="Heading4"/>
      </w:pPr>
      <w:r>
        <w:t>第一条（趣旨）</w:t>
      </w:r>
    </w:p>
    <w:p>
      <w:r>
        <w:t>民間事業者等が、財務省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法第三条第一項の主務省令で定める保存は、別表第一の中欄に掲げる法令の同表の下欄に掲げる規定に基づく書面の保存とする。</w:t>
      </w:r>
    </w:p>
    <w:p>
      <w:pPr>
        <w:pStyle w:val="Heading4"/>
      </w:pPr>
      <w:r>
        <w:t>第四条（電磁的記録による保存）</w:t>
      </w:r>
    </w:p>
    <w:p>
      <w:r>
        <w:t>民間事業者等が、法第三条第一項の規定に基づき、別表第一の中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できる措置を講じなければならない。</w:t>
      </w:r>
    </w:p>
    <w:p>
      <w:pPr>
        <w:pStyle w:val="Heading5"/>
        <w:ind w:left="440"/>
      </w:pPr>
      <w:r>
        <w:t>３</w:t>
      </w:r>
    </w:p>
    <w:p>
      <w:pPr>
        <w:ind w:left="440"/>
      </w:pPr>
      <w:r>
        <w:t>次に掲げる規定に基づく保存において、民間事業者等が、第一項の規定に基づく電磁的記録の保存を行う場合は、電磁的記録に記録された事項について必要な程度で検索できる措置を講じなければならない。</w:t>
      </w:r>
    </w:p>
    <w:p>
      <w:pPr>
        <w:pStyle w:val="Heading6"/>
        <w:ind w:left="880"/>
      </w:pPr>
      <w:r>
        <w:t>一</w:t>
      </w:r>
    </w:p>
    <w:p>
      <w:pPr>
        <w:ind w:left="880"/>
      </w:pPr>
      <w:r>
        <w:t>酒税の保全及び酒類業組合等に関する法律（昭和二十八年法律第七号）第四十一条、第五十八条第二項において準用する第四十一条及び第八十三条において準用する第四十一条</w:t>
      </w:r>
    </w:p>
    <w:p>
      <w:pPr>
        <w:pStyle w:val="Heading6"/>
        <w:ind w:left="880"/>
      </w:pPr>
      <w:r>
        <w:t>二</w:t>
      </w:r>
    </w:p>
    <w:p>
      <w:pPr>
        <w:ind w:left="880"/>
      </w:pPr>
      <w:r>
        <w:t>輸入品に対する内国消費税の徴収等に関する法律（昭和三十年法律第三十七号）第七条第六項において準用する関税法（昭和二十九年法律第六十一号）第七十七条の四及び輸入品に対する内国消費税の徴収等に関する法律第十六条第十一項</w:t>
      </w:r>
    </w:p>
    <w:p>
      <w:pPr>
        <w:pStyle w:val="Heading6"/>
        <w:ind w:left="880"/>
      </w:pPr>
      <w:r>
        <w:t>三</w:t>
      </w:r>
    </w:p>
    <w:p>
      <w:pPr>
        <w:ind w:left="880"/>
      </w:pPr>
      <w:r>
        <w:t>関税定率法（明治四十三年法律第五十四号）第十九条の二第五項において準用する関税法第三十四条の二及び同法第六十一条の三</w:t>
      </w:r>
    </w:p>
    <w:p>
      <w:pPr>
        <w:pStyle w:val="Heading6"/>
        <w:ind w:left="880"/>
      </w:pPr>
      <w:r>
        <w:t>四</w:t>
      </w:r>
    </w:p>
    <w:p>
      <w:pPr>
        <w:ind w:left="880"/>
      </w:pPr>
      <w:r>
        <w:t>関税定率法施行令（昭和二十九年政令第百五十五号）第十二条第一項、第二十五条の四、第四十九条において準用する第十二条第一項、第五十三条第三項、同条第四項において準用する第十二条第一項、第五十三条の四第二項において準用する第五十三条第三項及び同条第四項において準用する第十二条第一項、第五十四条の六並びに第五十九条第一項及び第二項</w:t>
      </w:r>
    </w:p>
    <w:p>
      <w:pPr>
        <w:pStyle w:val="Heading6"/>
        <w:ind w:left="880"/>
      </w:pPr>
      <w:r>
        <w:t>五</w:t>
      </w:r>
    </w:p>
    <w:p>
      <w:pPr>
        <w:ind w:left="880"/>
      </w:pPr>
      <w:r>
        <w:t>関税法第九条の八第一項、第三十四条の二、第六十一条の三、第六十二条の七において準用する第六十一条の三及び第七十七条の四</w:t>
      </w:r>
    </w:p>
    <w:p>
      <w:pPr>
        <w:pStyle w:val="Heading6"/>
        <w:ind w:left="880"/>
      </w:pPr>
      <w:r>
        <w:t>六</w:t>
      </w:r>
    </w:p>
    <w:p>
      <w:pPr>
        <w:ind w:left="880"/>
      </w:pPr>
      <w:r>
        <w:t>通関業法（昭和四十二年法律第百二十二号）第二十二条第一項</w:t>
      </w:r>
    </w:p>
    <w:p>
      <w:pPr>
        <w:pStyle w:val="Heading6"/>
        <w:ind w:left="880"/>
      </w:pPr>
      <w:r>
        <w:t>七</w:t>
      </w:r>
    </w:p>
    <w:p>
      <w:pPr>
        <w:ind w:left="880"/>
      </w:pPr>
      <w:r>
        <w:t>コンテナーに関する通関条約及び国際道路運送手帳による担保の下で行なう貨物の国際運送に関する通関条約（ＴＩＲ条約）の実施に伴う関税法等の特例に関する法律（昭和四十六年法律第六十五号）第六条第一項</w:t>
      </w:r>
    </w:p>
    <w:p>
      <w:pPr>
        <w:pStyle w:val="Heading6"/>
        <w:ind w:left="880"/>
      </w:pPr>
      <w:r>
        <w:t>八</w:t>
      </w:r>
    </w:p>
    <w:p>
      <w:pPr>
        <w:ind w:left="880"/>
      </w:pPr>
      <w:r>
        <w:t>コンテナーに関する通関条約及び国際道路運送手帳による担保の下で行なう貨物の国際運送に関する通関条約（ＴＩＲ条約）の実施に伴う関税法等の特例に関する法律施行令（昭和四十六年政令第二百五十七号）第十八条第二項</w:t>
      </w:r>
    </w:p>
    <w:p>
      <w:pPr>
        <w:pStyle w:val="Heading6"/>
        <w:ind w:left="880"/>
      </w:pPr>
      <w:r>
        <w:t>九</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第十条</w:t>
      </w:r>
    </w:p>
    <w:p>
      <w:pPr>
        <w:pStyle w:val="Heading6"/>
        <w:ind w:left="880"/>
      </w:pPr>
      <w:r>
        <w:t>十</w:t>
      </w:r>
    </w:p>
    <w:p>
      <w:pPr>
        <w:ind w:left="880"/>
      </w:pPr>
      <w:r>
        <w:t>日本国とアメリカ合衆国との間の相互防衛援助協定の実施に伴う関税法等の臨時特例に関する法律施行令（昭和二十九年政令第百三号）第六条</w:t>
      </w:r>
    </w:p>
    <w:p>
      <w:pPr>
        <w:pStyle w:val="Heading6"/>
        <w:ind w:left="880"/>
      </w:pPr>
      <w:r>
        <w:t>十一</w:t>
      </w:r>
    </w:p>
    <w:p>
      <w:pPr>
        <w:ind w:left="880"/>
      </w:pPr>
      <w:r>
        <w:t>関税暫定措置法施行令（昭和三十五年政令第六十九号）第九条、第三十三条第四項において準用する第九条、第三十三条第五項、第七項、第九項、第十項、第十二項及び第十四項並びに第三十三条の十一第一項</w:t>
      </w:r>
    </w:p>
    <w:p>
      <w:pPr>
        <w:pStyle w:val="Heading6"/>
        <w:ind w:left="880"/>
      </w:pPr>
      <w:r>
        <w:t>十二</w:t>
      </w:r>
    </w:p>
    <w:p>
      <w:pPr>
        <w:ind w:left="880"/>
      </w:pPr>
      <w:r>
        <w:t>外国為替及び外国貿易法（昭和二十四年法律第二百二十八号）第五十五条の三第五項後段</w:t>
      </w:r>
    </w:p>
    <w:p>
      <w:pPr>
        <w:pStyle w:val="Heading6"/>
        <w:ind w:left="880"/>
      </w:pPr>
      <w:r>
        <w:t>十三</w:t>
      </w:r>
    </w:p>
    <w:p>
      <w:pPr>
        <w:ind w:left="880"/>
      </w:pPr>
      <w:r>
        <w:t>外国為替令（昭和五十五年政令第二百六十号）第十一条の二第七項</w:t>
      </w:r>
    </w:p>
    <w:p>
      <w:pPr>
        <w:pStyle w:val="Heading5"/>
        <w:ind w:left="440"/>
      </w:pPr>
      <w:r>
        <w:t>４</w:t>
      </w:r>
    </w:p>
    <w:p>
      <w:pPr>
        <w:ind w:left="440"/>
      </w:pPr>
      <w:r>
        <w:t>別表第一の中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法第四条第一項の主務省令で定める作成は、別表第二の中欄に掲げる法令の同表の下欄に掲げる規定に基づく書面の作成とする。</w:t>
      </w:r>
    </w:p>
    <w:p>
      <w:pPr>
        <w:pStyle w:val="Heading4"/>
      </w:pPr>
      <w:r>
        <w:t>第六条（電磁的記録による作成）</w:t>
      </w:r>
    </w:p>
    <w:p>
      <w:r>
        <w:t>民間事業者等が、法第四条第一項の規定に基づき、別表第二の中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法第五条第一項の主務省令で定める縦覧等は、別表第三の中欄に掲げる法令の同表の下欄に掲げる規定に基づく書面の縦覧等とする。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中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法第六条第一項の主務省令で定める交付等は、別表第四の中欄に掲げる法令の同表の下欄に掲げる規定に基づく書面の交付等とする。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中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電子情報処理組織を使用する方法のうち次のいずれかに掲げるもの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r>
        <w:t>この規則は平成十七年四月一日から施行する。</w:t>
      </w:r>
    </w:p>
    <w:p>
      <w:r>
        <w:br w:type="page"/>
      </w:r>
    </w:p>
    <w:p>
      <w:pPr>
        <w:pStyle w:val="Heading1"/>
      </w:pPr>
      <w:r>
        <w:t>附　則（平成一八年四月二五日財務省令第三八号）</w:t>
      </w:r>
    </w:p>
    <w:p>
      <w:r>
        <w:t>この省令は、公布の日から施行し、この省令による改正後の財務省の所管する法令の規定に基づく民間事業者等が行う書面の保存等における情報通信の技術の利用に関する規則の規定は、平成十八年四月一日から適用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則（平成一九年九月二八日財務省令第五六号）</w:t>
      </w:r>
    </w:p>
    <w:p>
      <w:r>
        <w:t>この省令は、平成十九年十月一日から施行する。</w:t>
      </w:r>
    </w:p>
    <w:p>
      <w:r>
        <w:br w:type="page"/>
      </w:r>
    </w:p>
    <w:p>
      <w:pPr>
        <w:pStyle w:val="Heading1"/>
      </w:pPr>
      <w:r>
        <w:t>附　則（平成二〇年一二月一日財務省令第七八号）</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5"/>
        <w:ind w:left="440"/>
      </w:pPr>
      <w:r>
        <w:t>８</w:t>
      </w:r>
    </w:p>
    <w:p>
      <w:pPr>
        <w:ind w:left="440"/>
      </w:pPr>
      <w:r>
        <w:t>附則第五項の規定にかかわらず、整備法第九十五条の規定によりなお従前の例により特例民法法人の業務の監督が行われる間は、財務省の所管する法令の規定に基づく民間事業者等が行う書面の保存等における情報通信の技術の利用に関する規則中監督省令に関する規定は、この省令の施行後も、なおその効力を有する。</w:t>
      </w:r>
    </w:p>
    <w:p>
      <w:r>
        <w:br w:type="page"/>
      </w:r>
    </w:p>
    <w:p>
      <w:pPr>
        <w:pStyle w:val="Heading1"/>
      </w:pPr>
      <w:r>
        <w:t>附　則（平成二四年三月三一日財務省令第三五号）</w:t>
      </w:r>
    </w:p>
    <w:p>
      <w:r>
        <w:t>この省令は、平成二十四年四月一日から施行する。</w:t>
      </w:r>
    </w:p>
    <w:p>
      <w:r>
        <w:br w:type="page"/>
      </w:r>
    </w:p>
    <w:p>
      <w:pPr>
        <w:pStyle w:val="Heading1"/>
      </w:pPr>
      <w:r>
        <w:t>附　則（平成二六年一二月一二日財務省令第九四号）</w:t>
      </w:r>
    </w:p>
    <w:p>
      <w:r>
        <w:t>この省令は、経済上の連携に関する日本国とオーストラリアとの間の協定に基づく申告原産品に係る情報の提供等に関する法律の施行の日から施行する。</w:t>
      </w:r>
    </w:p>
    <w:p>
      <w:r>
        <w:br w:type="page"/>
      </w:r>
    </w:p>
    <w:p>
      <w:pPr>
        <w:pStyle w:val="Heading1"/>
      </w:pPr>
      <w:r>
        <w:t>附　則（平成二七年三月三一日財務省令第二〇号）</w:t>
      </w:r>
    </w:p>
    <w:p>
      <w:r>
        <w:t>この省令は、平成二十七年四月一日から施行する。</w:t>
      </w:r>
    </w:p>
    <w:p>
      <w:r>
        <w:br w:type="page"/>
      </w:r>
    </w:p>
    <w:p>
      <w:pPr>
        <w:pStyle w:val="Heading1"/>
      </w:pPr>
      <w:r>
        <w:t>附　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　則（平成二九年三月三一日財務省令第三五号）</w:t>
      </w:r>
    </w:p>
    <w:p>
      <w:r>
        <w:t>この省令は、平成二十九年四月一日から施行する。</w:t>
      </w:r>
    </w:p>
    <w:p>
      <w:r>
        <w:br w:type="page"/>
      </w:r>
    </w:p>
    <w:p>
      <w:pPr>
        <w:pStyle w:val="Heading1"/>
      </w:pPr>
      <w:r>
        <w:t>附　則（平成三〇年七月一一日財務省令第五三号）</w:t>
      </w:r>
    </w:p>
    <w:p>
      <w:r>
        <w:t>この省令は、環太平洋パートナーシップに関する包括的及び先進的な協定が日本国について効力を生ずる日から施行する。</w:t>
      </w:r>
    </w:p>
    <w:p>
      <w:r>
        <w:br w:type="page"/>
      </w:r>
    </w:p>
    <w:p>
      <w:pPr>
        <w:pStyle w:val="Heading1"/>
      </w:pPr>
      <w:r>
        <w:t>附　則（令和三年三月三一日財務省令第三六号）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財務省の所管する法令の規定に基づく民間事業者等が行う書面の保存等における情報通信の技術の利用に関する規則</w:t>
      <w:br/>
      <w:tab/>
      <w:t>（平成十七年財務省令第十六号）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財務省の所管する法令の規定に基づく民間事業者等が行う書面の保存等における情報通信の技術の利用に関する規則（平成十七年財務省令第十六号）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