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財務省関係法令の情報通信技術を活用した行政の推進等に関する法律施行規則</w:t>
        <w:br/>
        <w:t>（平成十五年財務省令第十七号）</w:t>
      </w:r>
    </w:p>
    <w:p>
      <w:pPr>
        <w:pStyle w:val="Heading4"/>
      </w:pPr>
      <w:r>
        <w:t>第一条（趣旨）</w:t>
      </w:r>
    </w:p>
    <w:p>
      <w:r>
        <w:t>財務省の所管する法令に基づく手続等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令に特別の定めのある場合を除くほか、この省令の定めるところによる。</w:t>
      </w:r>
    </w:p>
    <w:p>
      <w:pPr>
        <w:pStyle w:val="Heading5"/>
        <w:ind w:left="440"/>
      </w:pPr>
      <w:r>
        <w:t>２</w:t>
      </w:r>
    </w:p>
    <w:p>
      <w:pPr>
        <w:ind w:left="440"/>
      </w:pPr>
      <w:r>
        <w:t>財務省の所管する法令に基づく手続等（情報通信技術活用法第六条から第九条までの規定の適用を受けるものを除く。）を電子情報処理組織を使用する方法その他の情報通信技術を利用する方法により行う場合については、他の法令に特別の定めのある場合を除くほか、情報通信技術活用法及びこの省令の規定の例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法令</w:t>
      </w:r>
    </w:p>
    <w:p>
      <w:pPr>
        <w:pStyle w:val="Heading6"/>
        <w:ind w:left="880"/>
      </w:pPr>
      <w:r>
        <w:t>二</w:t>
      </w:r>
    </w:p>
    <w:p>
      <w:pPr>
        <w:ind w:left="880"/>
      </w:pPr>
      <w:r>
        <w:t>電子署名</w:t>
      </w:r>
    </w:p>
    <w:p>
      <w:pPr>
        <w:pStyle w:val="Heading6"/>
        <w:ind w:left="880"/>
      </w:pPr>
      <w:r>
        <w:t>三</w:t>
      </w:r>
    </w:p>
    <w:p>
      <w:pPr>
        <w:ind w:left="880"/>
      </w:pPr>
      <w:r>
        <w:t>電子証明書</w:t>
      </w:r>
    </w:p>
    <w:p>
      <w:pPr>
        <w:pStyle w:val="Heading5"/>
        <w:ind w:left="440"/>
      </w:pPr>
      <w:r>
        <w:t>２</w:t>
      </w:r>
    </w:p>
    <w:p>
      <w:pPr>
        <w:ind w:left="440"/>
      </w:pPr>
      <w:r>
        <w:t>前項に規定するもののほか、この省令で使用する用語は、情報通信技術活用法で使用する用語の例による。</w:t>
      </w:r>
    </w:p>
    <w:p>
      <w:pPr>
        <w:pStyle w:val="Heading4"/>
      </w:pPr>
      <w:r>
        <w:t>第三条（申請等に係る電子情報処理組織）</w:t>
      </w:r>
    </w:p>
    <w:p>
      <w:r>
        <w:t>情報通信技術活用法第六条第一項に規定する主務省令で定める電子情報処理組織は、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第四条（電子情報処理組織による申請等）</w:t>
      </w:r>
    </w:p>
    <w:p>
      <w:r>
        <w:t>情報通信技術活用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当該申請等が行われるべき行政機関等が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4"/>
      </w:pPr>
      <w:r>
        <w:t>第五条（申請等のうちに電子情報処理組織を使用する方法により行うことが困難又は著しく不適当と認められる部分がある場合）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第六条（処分通知等に係る電子情報処理組織）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第七条（電子情報処理組織による処分通知等）</w:t>
      </w:r>
    </w:p>
    <w:p>
      <w:r>
        <w:t>行政機関等は、情報通信技術活用法第七条第一項の規定により処分通知等を電子情報処理組織を使用する方法により行うときは、当該処分通知等につき規定した法令の規定において書面等に記載すべきこととされている事項を行政機関等の使用に係る電子計算機から入力し、当該処分通知等の情報に電子署名を行い、当該電子署名に係る電子証明書を当該処分通知等と併せて行政機関等の使用に係る電子計算機に備えられたファイルに記録しなければならない。</w:t>
      </w:r>
    </w:p>
    <w:p>
      <w:pPr>
        <w:pStyle w:val="Heading4"/>
      </w:pPr>
      <w:r>
        <w:t>第八条（処分通知等を受ける旨の表示の方式）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第六条の電子情報処理組織を使用して行う識別番号及び暗証コードの入力</w:t>
      </w:r>
    </w:p>
    <w:p>
      <w:pPr>
        <w:pStyle w:val="Heading6"/>
        <w:ind w:left="880"/>
      </w:pPr>
      <w:r>
        <w:t>二</w:t>
      </w:r>
    </w:p>
    <w:p>
      <w:pPr>
        <w:ind w:left="880"/>
      </w:pPr>
      <w:r>
        <w:t>電子情報処理組織を使用する方法により処分通知等を受けることを希望する旨の行政機関等の定めるところにより行う届出</w:t>
      </w:r>
    </w:p>
    <w:p>
      <w:pPr>
        <w:pStyle w:val="Heading4"/>
      </w:pPr>
      <w:r>
        <w:t>第九条（処分通知等のうちに電子情報処理組織を使用する方法により行うことが困難又は著しく不適当と認められる部分がある場合）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第十条（電磁的記録による縦覧等）</w:t>
      </w:r>
    </w:p>
    <w:p>
      <w:r>
        <w:t>行政機関等は、情報通信技術活用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面による方法により縦覧等を行うものとする。</w:t>
      </w:r>
    </w:p>
    <w:p>
      <w:pPr>
        <w:pStyle w:val="Heading4"/>
      </w:pPr>
      <w:r>
        <w:t>第十一条（電磁的記録による作成等）</w:t>
      </w:r>
    </w:p>
    <w:p>
      <w:r>
        <w:t>行政機関等は、情報通信技術活用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ものを含む。）をもって調製する方法により作成等を行うものとする。</w:t>
      </w:r>
    </w:p>
    <w:p>
      <w:pPr>
        <w:pStyle w:val="Heading4"/>
      </w:pPr>
      <w:r>
        <w:t>第十二条（氏名又は名称を明らかにする措置）</w:t>
      </w:r>
    </w:p>
    <w:p>
      <w:r>
        <w:t>情報通信技術活用法第六条第四項に規定する主務省令で定めるものは、申請等に係る情報に電子署名を行い、当該電子署名に係る電子証明書を当該申請等と併せて送信することをいう。</w:t>
      </w:r>
    </w:p>
    <w:p>
      <w:pPr>
        <w:pStyle w:val="Heading5"/>
        <w:ind w:left="440"/>
      </w:pPr>
      <w:r>
        <w:t>２</w:t>
      </w:r>
    </w:p>
    <w:p>
      <w:pPr>
        <w:ind w:left="440"/>
      </w:pPr>
      <w:r>
        <w:t>情報通信技術活用法第七条第四項に規定する主務省令で定めるものは、処分通知等に係る情報に電子署名を行い、当該電子署名に係る電子証明書を当該処分通知等に併せて行政機関等の使用に係る電子計算機に備えられたファイルに記録すること又は第七条ただし書に規定する措置を行うことをいう。</w:t>
      </w:r>
    </w:p>
    <w:p>
      <w:pPr>
        <w:pStyle w:val="Heading5"/>
        <w:ind w:left="440"/>
      </w:pPr>
      <w:r>
        <w:t>３</w:t>
      </w:r>
    </w:p>
    <w:p>
      <w:pPr>
        <w:ind w:left="440"/>
      </w:pPr>
      <w:r>
        <w:t>情報通信技術活用法第九条第三項に規定する主務省令で定めるものは、作成等に係る情報に電子署名を行い、当該電子署名に係る電子証明書を添付することをいう。</w:t>
      </w:r>
    </w:p>
    <w:p>
      <w:pPr>
        <w:pStyle w:val="Heading4"/>
      </w:pPr>
      <w:r>
        <w:t>第十三条（手続の細目）</w:t>
      </w:r>
    </w:p>
    <w:p>
      <w:r>
        <w:t>この省令に定めるもののほか、電子情報処理組織の使用に係る手続に関し必要な事項及び手続の細目については、別に定めるところによる。</w:t>
      </w:r>
    </w:p>
    <w:p>
      <w:r>
        <w:br w:type="page"/>
      </w:r>
    </w:p>
    <w:p>
      <w:pPr>
        <w:pStyle w:val="Heading1"/>
      </w:pPr>
      <w:r>
        <w:t>附　則</w:t>
      </w:r>
    </w:p>
    <w:p>
      <w:r>
        <w:t>この省令は、平成十五年三月二十八日から施行する。</w:t>
      </w:r>
    </w:p>
    <w:p>
      <w:r>
        <w:br w:type="page"/>
      </w:r>
    </w:p>
    <w:p>
      <w:pPr>
        <w:pStyle w:val="Heading1"/>
      </w:pPr>
      <w:r>
        <w:t>附　則（平成一六年一月一九日財務省令第三号）</w:t>
      </w:r>
    </w:p>
    <w:p>
      <w:r>
        <w:t>この省令は、平成十六年一月十九日から施行する。</w:t>
      </w:r>
    </w:p>
    <w:p>
      <w:r>
        <w:br w:type="page"/>
      </w:r>
    </w:p>
    <w:p>
      <w:pPr>
        <w:pStyle w:val="Heading1"/>
      </w:pPr>
      <w:r>
        <w:t>附　則（平成一六年三月二六日財務省令第一七号）</w:t>
      </w:r>
    </w:p>
    <w:p>
      <w:r>
        <w:t>この省令は、平成十六年三月二十六日から施行する。</w:t>
      </w:r>
    </w:p>
    <w:p>
      <w:r>
        <w:br w:type="page"/>
      </w:r>
    </w:p>
    <w:p>
      <w:pPr>
        <w:pStyle w:val="Heading1"/>
      </w:pPr>
      <w:r>
        <w:t>附　則（平成一七年三月二八日財務省令第一八号）</w:t>
      </w:r>
    </w:p>
    <w:p>
      <w:r>
        <w:t>この省令は、平成十七年三月二十八日から施行する。</w:t>
      </w:r>
    </w:p>
    <w:p>
      <w:r>
        <w:br w:type="page"/>
      </w:r>
    </w:p>
    <w:p>
      <w:pPr>
        <w:pStyle w:val="Heading1"/>
      </w:pPr>
      <w:r>
        <w:t>附　則（平成二〇年四月三〇日財務省令第二四号）</w:t>
      </w:r>
    </w:p>
    <w:p>
      <w:pPr>
        <w:pStyle w:val="Heading4"/>
      </w:pPr>
      <w:r>
        <w:t>第一条（施行期日）</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目次の改正規定、第一条第二項の改正規定、第四条第三十六号の改正規定、第十六条第二項第五号の改正規定、第十六条の二から第十六条の四までの改正規定、第四十条の八（見出しを含む。）の改正規定、第四十条の九第二項の改正規定、第四十七条第十七号の改正規定、第四十七条の二第三項の改正規定（同項第五号中「第四十一条の十九」を「第四十一条の十八の三」に改める部分及び「第二条第一項」の下に「（定義）」を加える部分を除く。）、第四十九条第一号の改正規定、第八十二条第二項第一号の改正規定、第八十三条第二項第五号の改正規定及び第八十四条の二第二項第一号の改正規定並びに附則第六条から第八条まで及び第十三条の規定</w:t>
      </w:r>
    </w:p>
    <w:p>
      <w:r>
        <w:br w:type="page"/>
      </w:r>
    </w:p>
    <w:p>
      <w:pPr>
        <w:pStyle w:val="Heading1"/>
      </w:pPr>
      <w:r>
        <w:t>附　則（平成二〇年四月三〇日財務省令第二五号）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目次の改正規定（「非課税外国法人等の指定（第二条―第二条の三）」を「公益法人等の範囲（第二条・第二条の二）」に改める部分に限る。）、第一編第二章の章名の改正規定、第二条を削る改正規定、第二条の二の改正規定、同章中同条を第二条とし、同条の次に一条を加える改正規定、第二条の三を削る改正規定、第四条の四の次に一条を加える改正規定、第五条の改正規定（「第五条第一項第二十九号ヲ」を「第五条第一項第二十九号ワ」に改める部分を除く。）、第五条の二第二項の改正規定、第六条の改正規定（「第五条第一項第二十九号ヨ」を「第五条第一項第二十九号タ」に改める部分を除く。）、第八条の二第一項の改正規定、第二十二条の五の改正規定、第二十三条の二（見出しを含む。）の改正規定、第二十三条の三第二項第一号の改正規定、同項第二号の改正規定、第二十四条の改正規定（同条第五号中「第七十七条の二第三項」を「第七十七条の四第三項」に改める部分を除く。）、第二編第一章第一節中第十一款の四の次に二款を加える改正規定（第十一款の六に係る部分に限る。）、第三十二条第二項及び第三十四条第二項の改正規定（「別表十四（五）」を「別表十四（六）」に改める部分に限る。）、第三十七条第一項第一号の改正規定（「特例）」の下に「、第二十七条の十六の四第二項（公益法人等が普通法人に移行する場合の所得の金額の計算）」を加える部分に限る。</w:t>
      </w:r>
    </w:p>
    <w:p>
      <w:r>
        <w:br w:type="page"/>
      </w:r>
    </w:p>
    <w:p>
      <w:pPr>
        <w:pStyle w:val="Heading1"/>
      </w:pPr>
      <w:r>
        <w:t>附　則（平成二〇年一二月一日財務省令第七八号）</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６</w:t>
      </w:r>
    </w:p>
    <w:p>
      <w:pPr>
        <w:ind w:left="440"/>
      </w:pPr>
      <w:r>
        <w:t>附則第三項の規定にかかわらず、整備法第九十五条の規定によりなお従前の例により特例民法法人（整備法第四十二条第二項に規定する特例民法法人をいう。）の業務の監督が行われる間は、財務省関係の行政手続等における情報通信の技術の利用に関する法律施行規則中監督省令に関する規定（監督省令第三条に係るものを除く。）は、この省令の施行後も、なおその効力を有する。</w:t>
      </w:r>
    </w:p>
    <w:p>
      <w:r>
        <w:br w:type="page"/>
      </w:r>
    </w:p>
    <w:p>
      <w:pPr>
        <w:pStyle w:val="Heading1"/>
      </w:pPr>
      <w:r>
        <w:t>附　則（平成二二年六月一〇日財務省令第四〇号）</w:t>
      </w:r>
    </w:p>
    <w:p>
      <w:r>
        <w:t>この省令は、公布の日から施行する。</w:t>
      </w:r>
    </w:p>
    <w:p>
      <w:r>
        <w:br w:type="page"/>
      </w:r>
    </w:p>
    <w:p>
      <w:pPr>
        <w:pStyle w:val="Heading1"/>
      </w:pPr>
      <w:r>
        <w:t>附　則（令和元年一二月一三日財務省令第三七号）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財務省関係法令の情報通信技術を活用した行政の推進等に関する法律施行規則</w:t>
      <w:br/>
      <w:tab/>
      <w:t>（平成十五年財務省令第十七号）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財務省関係法令の情報通信技術を活用した行政の推進等に関する法律施行規則（平成十五年財務省令第十七号）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