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財務省関係法令の情報通信技術を活用した行政の推進等に関する法律施行規則</w:t>
        <w:br/>
        <w:t>（平成十五年財務省令第十七号）</w:t>
      </w:r>
    </w:p>
    <w:p>
      <w:pPr>
        <w:pStyle w:val="Heading4"/>
      </w:pPr>
      <w:r>
        <w:t>第一条（趣旨）</w:t>
      </w:r>
    </w:p>
    <w:p>
      <w:r>
        <w:t>財務省の所管する法令に基づく手続等を情報通信技術を活用した行政の推進等に関する法律（平成十四年法律第百五十一号。以下「情報通信技術活用法」という。）第六条から第九条までの規定に基づき、電子情報処理組織を使用する方法その他の情報通信技術を利用する方法により行う場合については、他の法令に特別の定めのある場合を除くほか、この省令の定めるところによる。</w:t>
      </w:r>
    </w:p>
    <w:p>
      <w:pPr>
        <w:pStyle w:val="Heading5"/>
        <w:ind w:left="440"/>
      </w:pPr>
      <w:r>
        <w:t>２</w:t>
      </w:r>
    </w:p>
    <w:p>
      <w:pPr>
        <w:ind w:left="440"/>
      </w:pPr>
      <w:r>
        <w:t>財務省の所管する法令に基づく手続等（情報通信技術活用法第六条から第九条までの規定の適用を受けるものを除く。）を電子情報処理組織を使用する方法その他の情報通信技術を利用する方法により行う場合については、他の法令に特別の定めのある場合を除くほか、情報通信技術活用法及びこの省令の規定の例による。</w:t>
      </w:r>
    </w:p>
    <w:p>
      <w:pPr>
        <w:pStyle w:val="Heading4"/>
      </w:pPr>
      <w:r>
        <w:t>第二条（定義）</w:t>
      </w:r>
    </w:p>
    <w:p>
      <w:r>
        <w:t>この省令において、次の各号に掲げる用語の意義は、当該各号に定めるところによる。</w:t>
      </w:r>
    </w:p>
    <w:p>
      <w:pPr>
        <w:pStyle w:val="ListBullet"/>
        <w:ind w:left="880"/>
      </w:pPr>
      <w:r>
        <w:t>一</w:t>
        <w:br/>
        <w:t>法令</w:t>
        <w:br/>
        <w:br/>
        <w:br/>
        <w:t>法律及び法律に基づく命令（告示を含む。）をいう。</w:t>
      </w:r>
    </w:p>
    <w:p>
      <w:pPr>
        <w:pStyle w:val="ListBullet"/>
        <w:ind w:left="880"/>
      </w:pPr>
      <w:r>
        <w:t>二</w:t>
        <w:br/>
        <w:t>電子署名</w:t>
        <w:br/>
        <w:br/>
        <w:br/>
        <w:t>電子署名及び認証業務に関する法律（平成十二年法律第百二号）第二条第一項に規定する電子署名をいう。</w:t>
      </w:r>
    </w:p>
    <w:p>
      <w:pPr>
        <w:pStyle w:val="ListBullet"/>
        <w:ind w:left="880"/>
      </w:pPr>
      <w:r>
        <w:t>三</w:t>
        <w:br/>
        <w:t>電子証明書</w:t>
        <w:br/>
        <w:br/>
        <w:br/>
        <w:t>申請等を行う者又は行政機関等が電子署名を行ったものであることを確認するために用いられる事項がこれらの者に係るものであることを証明するために作成する電磁的記録（情報通信技術活用法第六条第一項に規定する行政機関等の使用に係る電子計算機において識別することができるものに限る。）であって、次に掲げるものをいう。</w:t>
      </w:r>
    </w:p>
    <w:p>
      <w:pPr>
        <w:pStyle w:val="Heading5"/>
        <w:ind w:left="440"/>
      </w:pPr>
      <w:r>
        <w:t>２</w:t>
      </w:r>
    </w:p>
    <w:p>
      <w:pPr>
        <w:ind w:left="440"/>
      </w:pPr>
      <w:r>
        <w:t>前項に規定するもののほか、この省令で使用する用語は、情報通信技術活用法で使用する用語の例による。</w:t>
      </w:r>
    </w:p>
    <w:p>
      <w:pPr>
        <w:pStyle w:val="Heading4"/>
      </w:pPr>
      <w:r>
        <w:t>第三条（申請等に係る電子情報処理組織）</w:t>
      </w:r>
    </w:p>
    <w:p>
      <w:r>
        <w:t>情報通信技術活用法第六条第一項に規定する主務省令で定める電子情報処理組織は、行政機関等の使用に係る電子計算機と、申請等をする者の使用に係る電子計算機であって当該行政機関等が定める技術的基準に適合するものとを電気通信回線で接続した電子情報処理組織とする。</w:t>
      </w:r>
    </w:p>
    <w:p>
      <w:pPr>
        <w:pStyle w:val="Heading4"/>
      </w:pPr>
      <w:r>
        <w:t>第四条（電子情報処理組織による申請等）</w:t>
      </w:r>
    </w:p>
    <w:p>
      <w:r>
        <w:t>情報通信技術活用法第六条第一項の規定により電子情報処理組織を使用する方法により申請等を行う者は、当該申請等を書面等により行うときに提出すべきこととされている書面等（次項に規定する書面等を除く。）に記載すべきこととされている事項その他当該申請等が行われるべき行政機関等が定める事項を、前条の申請等をする者の使用に係る電子計算機から入力して、申請等を行わなければならない。</w:t>
      </w:r>
    </w:p>
    <w:p>
      <w:pPr>
        <w:pStyle w:val="Heading5"/>
        <w:ind w:left="440"/>
      </w:pPr>
      <w:r>
        <w:t>２</w:t>
      </w:r>
    </w:p>
    <w:p>
      <w:pPr>
        <w:ind w:left="440"/>
      </w:pPr>
      <w:r>
        <w:t>前項の規定により申請等を行う者は、当該申請等が行われるべき行政機関等が定めるところにより、当該申請等を書面等により行うときに併せて提出すべきこととされている書面等に記載され若しくは電磁的記録に記録されている事項又はこれらに記載すべき若しくは記録すべき事項を前項の電子計算機から入力しなければならない。</w:t>
      </w:r>
    </w:p>
    <w:p>
      <w:pPr>
        <w:pStyle w:val="Heading4"/>
      </w:pPr>
      <w:r>
        <w:t>第五条（申請等のうちに電子情報処理組織を使用する方法により行うことが困難又は著しく不適当と認められる部分がある場合）</w:t>
      </w:r>
    </w:p>
    <w:p>
      <w:r>
        <w:t>情報通信技術活用法第六条第六項に規定する主務省令で定める場合は、次に掲げる場合とする。</w:t>
      </w:r>
    </w:p>
    <w:p>
      <w:pPr>
        <w:pStyle w:val="ListBullet"/>
        <w:ind w:left="880"/>
      </w:pPr>
      <w:r>
        <w:t>一</w:t>
        <w:br/>
        <w:t>申請等をする者について対面により本人確認をする必要があると行政機関等が認める場合</w:t>
      </w:r>
    </w:p>
    <w:p>
      <w:pPr>
        <w:pStyle w:val="ListBullet"/>
        <w:ind w:left="880"/>
      </w:pPr>
      <w:r>
        <w:t>二</w:t>
        <w:br/>
        <w:t>申請等に係る書面等のうちにその原本を確認する必要があるものがあると行政機関等が認める場合</w:t>
      </w:r>
    </w:p>
    <w:p>
      <w:pPr>
        <w:pStyle w:val="Heading4"/>
      </w:pPr>
      <w:r>
        <w:t>第六条（処分通知等に係る電子情報処理組織）</w:t>
      </w:r>
    </w:p>
    <w:p>
      <w:r>
        <w:t>情報通信技術活用法第七条第一項に規定する主務省令で定める電子情報処理組織は、行政機関等の使用に係る電子計算機と、処分通知等を受ける者の使用に係る電子計算機であって当該行政機関等が定める技術的基準に適合するものとを電気通信回線で接続した電子情報処理組織とする。</w:t>
      </w:r>
    </w:p>
    <w:p>
      <w:pPr>
        <w:pStyle w:val="Heading4"/>
      </w:pPr>
      <w:r>
        <w:t>第七条（電子情報処理組織による処分通知等）</w:t>
      </w:r>
    </w:p>
    <w:p>
      <w:r>
        <w:t>行政機関等は、情報通信技術活用法第七条第一項の規定により処分通知等を電子情報処理組織を使用する方法により行うときは、当該処分通知等につき規定した法令の規定において書面等に記載すべきこととされている事項を行政機関等の使用に係る電子計算機から入力し、当該処分通知等の情報に電子署名を行い、当該電子署名に係る電子証明書を当該処分通知等と併せて行政機関等の使用に係る電子計算機に備えられたファイルに記録しなければならない。</w:t>
        <w:br/>
        <w:t>ただし、処分通知等を受ける者が当該処分通知等を行った行政機関等を確認するための措置を行政機関等が別に定める場合は、本文に規定する措置に代えて当該措置を行わなければならない。</w:t>
      </w:r>
    </w:p>
    <w:p>
      <w:pPr>
        <w:pStyle w:val="Heading4"/>
      </w:pPr>
      <w:r>
        <w:t>第八条（処分通知等を受ける旨の表示の方式）</w:t>
      </w:r>
    </w:p>
    <w:p>
      <w:r>
        <w:t>情報通信技術活用法第七条第一項ただし書に規定する主務省令で定める方式は、次の各号に掲げるいずれかの方式とする。</w:t>
      </w:r>
    </w:p>
    <w:p>
      <w:pPr>
        <w:pStyle w:val="ListBullet"/>
        <w:ind w:left="880"/>
      </w:pPr>
      <w:r>
        <w:t>一</w:t>
        <w:br/>
        <w:t>第六条の電子情報処理組織を使用して行う識別番号及び暗証コードの入力</w:t>
      </w:r>
    </w:p>
    <w:p>
      <w:pPr>
        <w:pStyle w:val="ListBullet"/>
        <w:ind w:left="880"/>
      </w:pPr>
      <w:r>
        <w:t>二</w:t>
        <w:br/>
        <w:t>電子情報処理組織を使用する方法により処分通知等を受けることを希望する旨の行政機関等の定めるところにより行う届出</w:t>
      </w:r>
    </w:p>
    <w:p>
      <w:pPr>
        <w:pStyle w:val="Heading4"/>
      </w:pPr>
      <w:r>
        <w:t>第九条（処分通知等のうちに電子情報処理組織を使用する方法により行うことが困難又は著しく不適当と認められる部分がある場合）</w:t>
      </w:r>
    </w:p>
    <w:p>
      <w:r>
        <w:t>情報通信技術活用法第七条第五項に規定する主務省令で定める場合は、次に掲げる場合とする。</w:t>
      </w:r>
    </w:p>
    <w:p>
      <w:pPr>
        <w:pStyle w:val="ListBullet"/>
        <w:ind w:left="880"/>
      </w:pPr>
      <w:r>
        <w:t>一</w:t>
        <w:br/>
        <w:t>処分通知等を受ける者について対面により本人確認をする必要があると行政機関等が認める場合</w:t>
      </w:r>
    </w:p>
    <w:p>
      <w:pPr>
        <w:pStyle w:val="ListBullet"/>
        <w:ind w:left="880"/>
      </w:pPr>
      <w:r>
        <w:t>二</w:t>
        <w:br/>
        <w:t>処分通知等に係る書面等のうちにその原本を交付する必要があるものがあると行政機関等が認める場合</w:t>
      </w:r>
    </w:p>
    <w:p>
      <w:pPr>
        <w:pStyle w:val="Heading4"/>
      </w:pPr>
      <w:r>
        <w:t>第十条（電磁的記録による縦覧等）</w:t>
      </w:r>
    </w:p>
    <w:p>
      <w:r>
        <w:t>行政機関等は、情報通信技術活用法第八条第一項の規定により電磁的記録に記録されている事項又は当該事項を記載した書類により縦覧等を行うときは、当該事項をインターネットを利用する方法、当該行政機関等の事務所に備え置く電子計算機の映像面に表示する方法又は電磁的記録に記録されている事項を記載した書面による方法により縦覧等を行うものとする。</w:t>
      </w:r>
    </w:p>
    <w:p>
      <w:pPr>
        <w:pStyle w:val="Heading4"/>
      </w:pPr>
      <w:r>
        <w:t>第十一条（電磁的記録による作成等）</w:t>
      </w:r>
    </w:p>
    <w:p>
      <w:r>
        <w:t>行政機関等は、情報通信技術活用法第九条第一項の規定により電磁的記録により作成等を行うときは、当該作成等を書面等により行うときに記載すべきこととされている事項を当該行政機関等の使用に係る電子計算機に備えられたファイルに記録する方法又は磁気ディスク（これに準ずる方法により一定の事項を確実に記録しておくことができるものを含む。）をもって調製する方法により作成等を行うものとする。</w:t>
      </w:r>
    </w:p>
    <w:p>
      <w:pPr>
        <w:pStyle w:val="Heading4"/>
      </w:pPr>
      <w:r>
        <w:t>第十二条（氏名又は名称を明らかにする措置）</w:t>
      </w:r>
    </w:p>
    <w:p>
      <w:r>
        <w:t>情報通信技術活用法第六条第四項に規定する主務省令で定めるものは、申請等に係る情報に電子署名を行い、当該電子署名に係る電子証明書を当該申請等と併せて送信することをいう。</w:t>
        <w:br/>
        <w:t>ただし、当該申請等が行われるべき行政機関等が当該申請等を行った者を確認するための措置を別に定める場合は、本文に規定する措置に代えて当該措置を行わなければならない。</w:t>
      </w:r>
    </w:p>
    <w:p>
      <w:pPr>
        <w:pStyle w:val="Heading5"/>
        <w:ind w:left="440"/>
      </w:pPr>
      <w:r>
        <w:t>２</w:t>
      </w:r>
    </w:p>
    <w:p>
      <w:pPr>
        <w:ind w:left="440"/>
      </w:pPr>
      <w:r>
        <w:t>情報通信技術活用法第七条第四項に規定する主務省令で定めるものは、処分通知等に係る情報に電子署名を行い、当該電子署名に係る電子証明書を当該処分通知等に併せて行政機関等の使用に係る電子計算機に備えられたファイルに記録すること又は第七条ただし書に規定する措置を行うことをいう。</w:t>
      </w:r>
    </w:p>
    <w:p>
      <w:pPr>
        <w:pStyle w:val="Heading5"/>
        <w:ind w:left="440"/>
      </w:pPr>
      <w:r>
        <w:t>３</w:t>
      </w:r>
    </w:p>
    <w:p>
      <w:pPr>
        <w:ind w:left="440"/>
      </w:pPr>
      <w:r>
        <w:t>情報通信技術活用法第九条第三項に規定する主務省令で定めるものは、作成等に係る情報に電子署名を行い、当該電子署名に係る電子証明書を添付することをいう。</w:t>
      </w:r>
    </w:p>
    <w:p>
      <w:pPr>
        <w:pStyle w:val="Heading4"/>
      </w:pPr>
      <w:r>
        <w:t>第十三条（手続の細目）</w:t>
      </w:r>
    </w:p>
    <w:p>
      <w:r>
        <w:t>この省令に定めるもののほか、電子情報処理組織の使用に係る手続に関し必要な事項及び手続の細目については、別に定めるところによる。</w:t>
      </w:r>
    </w:p>
    <w:p>
      <w:r>
        <w:br w:type="page"/>
      </w:r>
    </w:p>
    <w:p>
      <w:pPr>
        <w:pStyle w:val="Heading1"/>
      </w:pPr>
      <w:r>
        <w:t>附　則</w:t>
      </w:r>
    </w:p>
    <w:p>
      <w:r>
        <w:t>この省令は、平成十五年三月二十八日から施行する。</w:t>
      </w:r>
    </w:p>
    <w:p>
      <w:r>
        <w:br w:type="page"/>
      </w:r>
    </w:p>
    <w:p>
      <w:pPr>
        <w:pStyle w:val="Heading1"/>
      </w:pPr>
      <w:r>
        <w:t>附則（平成一六年一月一九日財務省令第三号）</w:t>
      </w:r>
    </w:p>
    <w:p>
      <w:r>
        <w:t>この省令は、平成十六年一月十九日から施行する。</w:t>
      </w:r>
    </w:p>
    <w:p>
      <w:r>
        <w:br w:type="page"/>
      </w:r>
    </w:p>
    <w:p>
      <w:pPr>
        <w:pStyle w:val="Heading1"/>
      </w:pPr>
      <w:r>
        <w:t>附則（平成一六年三月二六日財務省令第一七号）</w:t>
      </w:r>
    </w:p>
    <w:p>
      <w:r>
        <w:t>この省令は、平成十六年三月二十六日から施行する。</w:t>
      </w:r>
    </w:p>
    <w:p>
      <w:r>
        <w:br w:type="page"/>
      </w:r>
    </w:p>
    <w:p>
      <w:pPr>
        <w:pStyle w:val="Heading1"/>
      </w:pPr>
      <w:r>
        <w:t>附則（平成一七年三月二八日財務省令第一八号）</w:t>
      </w:r>
    </w:p>
    <w:p>
      <w:r>
        <w:t>この省令は、平成十七年三月二十八日から施行する。</w:t>
      </w:r>
    </w:p>
    <w:p>
      <w:r>
        <w:br w:type="page"/>
      </w:r>
    </w:p>
    <w:p>
      <w:pPr>
        <w:pStyle w:val="Heading1"/>
      </w:pPr>
      <w:r>
        <w:t>附則（平成二〇年四月三〇日財務省令第二四号）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目次の改正規定、第一条第二項の改正規定、第四条第三十六号の改正規定、第十六条第二項第五号の改正規定、第十六条の二から第十六条の四までの改正規定、第四十条の八（見出しを含む。）の改正規定、第四十条の九第二項の改正規定、第四十七条第十七号の改正規定、第四十七条の二第三項の改正規定（同項第五号中「第四十一条の十九」を「第四十一条の十八の三」に改める部分及び「第二条第一項」の下に「（定義）」を加える部分を除く。）、第四十九条第一号の改正規定、第八十二条第二項第一号の改正規定、第八十三条第二項第五号の改正規定及び第八十四条の二第二項第一号の改正規定並びに附則第六条から第八条まで及び第十三条の規定</w:t>
        <w:br/>
        <w:br/>
        <w:br/>
        <w:t>一般社団法人及び一般財団法人に関する法律（平成十八年法律第四十八号）の施行の日（平成二十年十二月一日）</w:t>
      </w:r>
    </w:p>
    <w:p>
      <w:r>
        <w:br w:type="page"/>
      </w:r>
    </w:p>
    <w:p>
      <w:pPr>
        <w:pStyle w:val="Heading1"/>
      </w:pPr>
      <w:r>
        <w:t>附則（平成二〇年四月三〇日財務省令第二五号）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非課税外国法人等の指定（第二条―第二条の三）」を「公益法人等の範囲（第二条・第二条の二）」に改める部分に限る。）、第一編第二章の章名の改正規定、第二条を削る改正規定、第二条の二の改正規定、同章中同条を第二条とし、同条の次に一条を加える改正規定、第二条の三を削る改正規定、第四条の四の次に一条を加える改正規定、第五条の改正規定（「第五条第一項第二十九号ヲ」を「第五条第一項第二十九号ワ」に改める部分を除く。）、第五条の二第二項の改正規定、第六条の改正規定（「第五条第一項第二十九号ヨ」を「第五条第一項第二十九号タ」に改める部分を除く。）、第八条の二第一項の改正規定、第二十二条の五の改正規定、第二十三条の二（見出しを含む。）の改正規定、第二十三条の三第二項第一号の改正規定、同項第二号の改正規定、第二十四条の改正規定（同条第五号中「第七十七条の二第三項」を「第七十七条の四第三項」に改める部分を除く。）、第二編第一章第一節中第十一款の四の次に二款を加える改正規定（第十一款の六に係る部分に限る。）、第三十二条第二項及び第三十四条第二項の改正規定（「別表十四（五）」を「別表十四（六）」に改める部分に限る。）、第三十七条第一項第一号の改正規定（「特例）」の下に「、第二十七条の十六の四第二項（公益法人等が普通法人に移行する場合の所得の金額の計算）」を加える部分に限る。</w:t>
        <w:br/>
        <w:t>）、同項第二号の改正規定（「計算の特例）」の下に「、法第六十四条の四第四項（公益法人等が普通法人に移行する場合の所得の金額の計算）」を加える部分に限る。</w:t>
        <w:br/>
        <w:t>）、同条第二項の改正規定（同項の表第二十七条の十五の二の項の次に次のように加える部分に限る。</w:t>
        <w:br/>
        <w:t>）、第四十三条第二項の改正規定（「別表十四（五）」を「別表十四（六）」に改める部分に限る。</w:t>
        <w:br/>
        <w:t>）、第六十六条第一項の改正規定、別表一（一）の表の改正規定（「普通法人（特定の医療法人を除く。）及び人格のない社団等の分」を「普通法人（特定の医療法人を除く。）、一般社団法人等及び人格のない社団等の分」に改める部分及び同表の「同非区分」から「旧納税地及び旧法人名等」までの欄に係る部分に限る。</w:t>
        <w:br/>
        <w:t>）、同表の記載要領第一号の改正規定、同第八号の改正規定（「（中小法人の各事業年度の所得に対する法人税の税率）」を削る部分に限る。</w:t>
        <w:br/>
        <w:t>）、別表一（二）の表の改正規定（「公益法人等及び協同組合等の分」を「公益法人等（一般社団法人等を除く。）及び協同組合等の分」に改める部分に限る。</w:t>
        <w:br/>
        <w:t>）、同表の記載要領第一号の改正規定、別表十四（二）の記載要領第一号の改正規定、同第二号の改正規定（「第７３条第１項第３号イ（寄附金の損金算入限度額）」を「第７３条第１項第３号イ又はロ」に、「同号ロ」を「同号ハ」に改める部分に限る。</w:t>
        <w:br/>
        <w:t>）、別表十四（五）の次に一表を加える改正規定並びに別表十四の二の記載要領の改正規定（同表の記載要領を同第一号とし、同表の記載要領に二号を加える部分を除く。</w:t>
        <w:br/>
        <w:t>）並びに附則第三条、第五条、第七条、第九条第二項及び第四項並びに第十条から第十二条までの規定</w:t>
        <w:br/>
        <w:br/>
        <w:br/>
        <w:t>一般社団法人及び一般財団法人に関する法律（平成十八年法律第四十八号）の施行の日（平成二十年十二月一日）</w:t>
      </w:r>
    </w:p>
    <w:p>
      <w:r>
        <w:br w:type="page"/>
      </w:r>
    </w:p>
    <w:p>
      <w:pPr>
        <w:pStyle w:val="Heading1"/>
      </w:pPr>
      <w:r>
        <w:t>附則（平成二〇年一二月一日財務省令第七八号）</w:t>
      </w:r>
    </w:p>
    <w:p>
      <w:pPr>
        <w:pStyle w:val="Heading5"/>
        <w:ind w:left="440"/>
      </w:pPr>
      <w:r>
        <w:t>１</w:t>
      </w:r>
    </w:p>
    <w:p>
      <w:pPr>
        <w:ind w:left="440"/>
      </w:pPr>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5"/>
        <w:ind w:left="440"/>
      </w:pPr>
      <w:r>
        <w:t>６</w:t>
      </w:r>
    </w:p>
    <w:p>
      <w:pPr>
        <w:ind w:left="440"/>
      </w:pPr>
      <w:r>
        <w:t>附則第三項の規定にかかわらず、整備法第九十五条の規定によりなお従前の例により特例民法法人（整備法第四十二条第二項に規定する特例民法法人をいう。）の業務の監督が行われる間は、財務省関係の行政手続等における情報通信の技術の利用に関する法律施行規則中監督省令に関する規定（監督省令第三条に係るものを除く。）は、この省令の施行後も、なおその効力を有する。</w:t>
      </w:r>
    </w:p>
    <w:p>
      <w:r>
        <w:br w:type="page"/>
      </w:r>
    </w:p>
    <w:p>
      <w:pPr>
        <w:pStyle w:val="Heading1"/>
      </w:pPr>
      <w:r>
        <w:t>附則（平成二二年六月一〇日財務省令第四〇号）</w:t>
      </w:r>
    </w:p>
    <w:p>
      <w:pPr>
        <w:pStyle w:val="Heading5"/>
        <w:ind w:left="440"/>
      </w:pPr>
      <w:r>
        <w:t>１</w:t>
      </w:r>
    </w:p>
    <w:p>
      <w:pPr>
        <w:ind w:left="440"/>
      </w:pPr>
      <w:r>
        <w:t>この省令は、公布の日から施行する。</w:t>
      </w:r>
    </w:p>
    <w:p>
      <w:r>
        <w:br w:type="page"/>
      </w:r>
    </w:p>
    <w:p>
      <w:pPr>
        <w:pStyle w:val="Heading1"/>
      </w:pPr>
      <w:r>
        <w:t>附則（令和元年一二月一三日財務省令第三七号）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財務省関係法令の情報通信技術を活用した行政の推進等に関する法律施行規則</w:t>
      <w:br/>
      <w:tab/>
      <w:t>（平成十五年財務省令第十七号）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財務省関係法令の情報通信技術を活用した行政の推進等に関する法律施行規則（平成十五年財務省令第十七号）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