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財政法、会計法等の財政関係法律の一部を改正する等の法律　抄</w:t>
        <w:br/>
        <w:t>（昭和二十七年法律第四号）</w:t>
      </w:r>
    </w:p>
    <w:p>
      <w:pPr>
        <w:pStyle w:val="Heading4"/>
      </w:pPr>
      <w:r>
        <w:t>第六条（各特別会計の歳入歳出予算の歳出予算の区分の特例）</w:t>
      </w:r>
    </w:p>
    <w:p>
      <w:r>
        <w:t>政府の各特別会計の歳入歳出予算の歳出予算の区分については、各特別会計法の規定にかかわらず、歳出の目的に従つて項に区分するものとする。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この法律中継続費、歳出予算及び支出予算の区分並びに繰越に係る部分は、公布の日から、その他の部分は、昭和二十七年四月一日から施行する。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財政法、会計法等の財政関係法律の一部を改正する等の法律　抄</w:t>
      <w:br/>
      <w:tab/>
      <w:t>（昭和二十七年法律第四号）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財政法、会計法等の財政関係法律の一部を改正する等の法律　抄（昭和二十七年法律第四号）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