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財政運営に必要な財源の確保を図るための公債の発行及び財政投融資特別会計からの繰入れの特例に関する法律</w:t>
        <w:br/>
        <w:t>（平成二十一年法律第十七号）</w:t>
      </w:r>
    </w:p>
    <w:p>
      <w:pPr>
        <w:pStyle w:val="Heading4"/>
      </w:pPr>
      <w:r>
        <w:t>第一条（趣旨）</w:t>
      </w:r>
    </w:p>
    <w:p>
      <w:r>
        <w:t>この法律は、最近における国の財政収支が著しく不均衡な状況にあることにかんがみ、平成二十一年度における公債の発行の特例に関する措置を定めるとともに、税制の抜本的な改革が実施されるまでの経済状況の好転を図る期間における臨時の措置として、同年度において、国民生活の安定及び経済の持続的な成長を図ることを目的として集中的に実施する施策により見込まれる歳出の増加に充てるため及び当該施策により見込まれる租税収入の減少を補うため並びに基礎年金の国庫負担の追加に伴い見込まれる歳出の増加に充てるために必要な財源を確保するため、財政投融資特別会計財政融資資金勘定からの一般会計への繰入れに関する特例措置を定めるものとする。</w:t>
      </w:r>
    </w:p>
    <w:p>
      <w:pPr>
        <w:pStyle w:val="Heading4"/>
      </w:pPr>
      <w:r>
        <w:t>第二条（特例公債の発行等）</w:t>
      </w:r>
    </w:p>
    <w:p>
      <w:r>
        <w:t>政府は、財政法（昭和二十二年法律第三十四号）第四条第一項ただし書の規定により発行する公債のほか、平成二十一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前項の規定による公債の発行は、平成二十二年六月三十日までの間、行うことができる。</w:t>
        <w:br/>
        <w:t>この場合において、同年四月一日以後発行される同項の公債に係る収入は、平成二十一年度所属の歳入とする。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pPr>
        <w:pStyle w:val="Heading4"/>
      </w:pPr>
      <w:r>
        <w:t>第三条（財政投融資特別会計財政融資資金勘定からの一般会計への繰入れ）</w:t>
      </w:r>
    </w:p>
    <w:p>
      <w:r>
        <w:t>政府は、平成二十一年度において、特別会計に関する法律（平成十九年法律第二十三号）第五十八条第三項の規定にかかわらず、予算で定めるところにより、財政投融資特別会計財政融資資金勘定から一般会計に繰り入れることができる。</w:t>
      </w:r>
    </w:p>
    <w:p>
      <w:pPr>
        <w:pStyle w:val="Heading5"/>
        <w:ind w:left="440"/>
      </w:pPr>
      <w:r>
        <w:t>２</w:t>
      </w:r>
    </w:p>
    <w:p>
      <w:pPr>
        <w:ind w:left="440"/>
      </w:pPr>
      <w:r>
        <w:t>前項の規定による繰入金は、財政投融資特別会計財政融資資金勘定の歳出とし、当該繰入金に相当する金額を特別会計に関する法律第五十八条第一項の積立金から同勘定の歳入に繰り入れるものとする。</w:t>
      </w:r>
    </w:p>
    <w:p>
      <w:pPr>
        <w:pStyle w:val="Heading5"/>
        <w:ind w:left="440"/>
      </w:pPr>
      <w:r>
        <w:t>３</w:t>
      </w:r>
    </w:p>
    <w:p>
      <w:pPr>
        <w:ind w:left="440"/>
      </w:pPr>
      <w:r>
        <w:t>前項に規定する繰入金に相当する金額は、特別会計に関する法律第五十六条第一項の繰越利益の額から減額して整理するものとする。</w:t>
      </w:r>
    </w:p>
    <w:p>
      <w:r>
        <w:br w:type="page"/>
      </w:r>
    </w:p>
    <w:p>
      <w:pPr>
        <w:pStyle w:val="Heading1"/>
      </w:pPr>
      <w:r>
        <w:t>附　則</w:t>
      </w:r>
    </w:p>
    <w:p>
      <w:r>
        <w:t>この法律は、平成二十一年四月一日から施行する。</w:t>
      </w:r>
    </w:p>
    <w:p>
      <w:r>
        <w:br w:type="page"/>
      </w:r>
    </w:p>
    <w:p>
      <w:pPr>
        <w:pStyle w:val="Heading1"/>
      </w:pPr>
      <w:r>
        <w:t>附則（平成二二年三月三一日法律第七号）</w:t>
      </w:r>
    </w:p>
    <w:p>
      <w:pPr>
        <w:pStyle w:val="Heading4"/>
      </w:pPr>
      <w:r>
        <w:t>第一条（施行期日）</w:t>
      </w:r>
    </w:p>
    <w:p>
      <w:r>
        <w:t>この法律は、平成二十二年四月一日から施行する。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財政運営に必要な財源の確保を図るための公債の発行及び財政投融資特別会計からの繰入れの特例に関する法律</w:t>
      <w:br/>
      <w:tab/>
      <w:t>（平成二十一年法律第十七号）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財政運営に必要な財源の確保を図るための公債の発行及び財政投融資特別会計からの繰入れの特例に関する法律（平成二十一年法律第十七号）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