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貨幣損傷等取締法</w:t>
        <w:br/>
        <w:t>（昭和二十二年法律第百四十八号）</w:t>
      </w:r>
    </w:p>
    <w:p>
      <w:pPr>
        <w:pStyle w:val="Heading5"/>
        <w:ind w:left="440"/>
      </w:pPr>
      <w:r>
        <w:t>○１</w:t>
      </w:r>
    </w:p>
    <w:p>
      <w:pPr>
        <w:ind w:left="440"/>
      </w:pPr>
      <w:r>
        <w:t>貨幣は、これを損傷し又は鋳つぶしてはならない。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貨幣は、これを損傷し又は鋳つぶす目的で集めてはならない。</w:t>
      </w:r>
    </w:p>
    <w:p>
      <w:pPr>
        <w:pStyle w:val="Heading5"/>
        <w:ind w:left="440"/>
      </w:pPr>
      <w:r>
        <w:t>○３</w:t>
      </w:r>
    </w:p>
    <w:p>
      <w:pPr>
        <w:ind w:left="440"/>
      </w:pPr>
      <w:r>
        <w:t>第一項又は前項の規定に違反した者は、これを一年以下の懲役又は二十万円以下の罰金に処する。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○１</w:t>
      </w:r>
    </w:p>
    <w:p>
      <w:pPr>
        <w:ind w:left="440"/>
      </w:pPr>
      <w:r>
        <w:t>この法律は、公布の日から、これを施行する。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昭和十五年大蔵省令第四十号（補助貨幣のしゆう集、鋳つぶし又は損傷の取締に関する省令）は、これを廃止する。</w:t>
      </w:r>
    </w:p>
    <w:p>
      <w:r>
        <w:br w:type="page"/>
      </w:r>
    </w:p>
    <w:p>
      <w:pPr>
        <w:pStyle w:val="Heading1"/>
      </w:pPr>
      <w:r>
        <w:t>附則（昭和六二年六月一日法律第四二号）</w:t>
      </w:r>
    </w:p>
    <w:p>
      <w:pPr>
        <w:pStyle w:val="Heading4"/>
      </w:pPr>
      <w:r>
        <w:t>第一条（施行期日）</w:t>
      </w:r>
    </w:p>
    <w:p>
      <w:r>
        <w:t>この法律は、昭和六十三年四月一日から施行する。</w:t>
      </w:r>
    </w:p>
    <w:p>
      <w:pPr>
        <w:pStyle w:val="Heading4"/>
      </w:pPr>
      <w:r>
        <w:t>第十六条（罰則の適用に関する経過措置）</w:t>
      </w:r>
    </w:p>
    <w:p>
      <w:r>
        <w:t>この法律の施行前にした行為に対する罰則の適用については、なお従前の例による。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貨幣損傷等取締法</w:t>
      <w:br/>
      <w:tab/>
      <w:t>（昭和二十二年法律第百四十八号）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貨幣損傷等取締法（昭和二十二年法律第百四十八号）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