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輸出入取引審議会令</w:t>
        <w:br/>
        <w:t>（昭和二十八年政令第二百五十号）</w:t>
      </w:r>
    </w:p>
    <w:p>
      <w:pPr>
        <w:pStyle w:val="Heading4"/>
      </w:pPr>
      <w:r>
        <w:t>第一条（組織）</w:t>
      </w:r>
    </w:p>
    <w:p>
      <w:r>
        <w:t>輸出入取引審議会（以下「審議会」という。）は、委員三十人以内で組織する。</w:t>
      </w:r>
    </w:p>
    <w:p>
      <w:pPr>
        <w:pStyle w:val="Heading5"/>
        <w:ind w:left="440"/>
      </w:pPr>
      <w:r>
        <w:t>２</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審議会は、その定めるところにより、部会の議決をもつて審議会の議決とすることができる。</w:t>
      </w:r>
    </w:p>
    <w:p>
      <w:pPr>
        <w:pStyle w:val="Heading4"/>
      </w:pPr>
      <w:r>
        <w:t>第六条（議事）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審議会の庶務は、経済産業省貿易経済協力局貿易管理部貿易管理課において処理する。</w:t>
      </w:r>
    </w:p>
    <w:p>
      <w:pPr>
        <w:pStyle w:val="Heading4"/>
      </w:pPr>
      <w:r>
        <w:t>第九条（雑則）</w:t>
      </w:r>
    </w:p>
    <w:p>
      <w:r>
        <w:t>この政令に定めるもののほか、議事の手続その他審議会の運営に関し必要な事項は、会長が審議会に諮つて定める。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この政令は、昭和二十八年九月一日から施行する。</w:t>
      </w:r>
    </w:p>
    <w:p>
      <w:pPr>
        <w:pStyle w:val="Heading5"/>
        <w:ind w:left="440"/>
      </w:pPr>
      <w:r>
        <w:t>２</w:t>
      </w:r>
    </w:p>
    <w:p>
      <w:pPr>
        <w:ind w:left="440"/>
      </w:pPr>
      <w:r>
        <w:t>輸出入協議会令（昭和二十四年政令第二百六十七号）は、廃止する。</w:t>
      </w:r>
    </w:p>
    <w:p>
      <w:r>
        <w:br w:type="page"/>
      </w:r>
    </w:p>
    <w:p>
      <w:pPr>
        <w:pStyle w:val="Heading1"/>
      </w:pPr>
      <w:r>
        <w:t>附則（昭和四八年七月二五日政令第二〇八号）</w:t>
      </w:r>
    </w:p>
    <w:p>
      <w:pPr>
        <w:pStyle w:val="Heading5"/>
        <w:ind w:left="440"/>
      </w:pPr>
      <w:r>
        <w:t>１</w:t>
      </w:r>
    </w:p>
    <w:p>
      <w:pPr>
        <w:ind w:left="440"/>
      </w:pPr>
      <w:r>
        <w:t>この政令は、公布の日から施行する。</w:t>
      </w:r>
    </w:p>
    <w:p>
      <w:r>
        <w:br w:type="page"/>
      </w:r>
    </w:p>
    <w:p>
      <w:pPr>
        <w:pStyle w:val="Heading1"/>
      </w:pPr>
      <w:r>
        <w:t>附則（昭和五三年五月二三日政令第一九三号）</w:t>
      </w:r>
    </w:p>
    <w:p>
      <w:r>
        <w:t>この政令は、公布の日から施行する。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br/>
        <w:t>ただし、附則第三条の規定は、公布の日から施行する。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ListBullet"/>
        <w:ind w:left="880"/>
      </w:pPr>
      <w:r>
        <w:t>一</w:t>
        <w:br/>
        <w:t>輸出入取引審議会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輸出入取引審議会令</w:t>
      <w:br/>
      <w:tab/>
      <w:t>（昭和二十八年政令第二百五十号）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輸出入取引審議会令（昭和二十八年政令第二百五十号）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