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農住組合法に係る民間事業者等が行う書面の保存等における情報通信の技術の利用に関する法律施行規則</w:t>
        <w:br/>
        <w:t>（平成十七年農林水産省・国土交通省令第三号）</w:t>
      </w:r>
    </w:p>
    <w:p>
      <w:pPr>
        <w:pStyle w:val="Heading4"/>
      </w:pPr>
      <w:r>
        <w:t>第一条（趣旨）</w:t>
      </w:r>
    </w:p>
    <w:p>
      <w:r>
        <w:t>民間事業者等が、農住組合法（昭和五十五年法律第八十六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法第三条第一項の主務省令で定める保存は、次に掲げる規定に基づく書面の保存とする。</w:t>
      </w:r>
    </w:p>
    <w:p>
      <w:pPr>
        <w:pStyle w:val="ListBullet"/>
        <w:ind w:left="880"/>
      </w:pPr>
      <w:r>
        <w:t>一</w:t>
        <w:br/>
        <w:t>農住組合法第四十一条第一項及び第二項</w:t>
      </w:r>
    </w:p>
    <w:p>
      <w:pPr>
        <w:pStyle w:val="ListBullet"/>
        <w:ind w:left="880"/>
      </w:pPr>
      <w:r>
        <w:t>二</w:t>
        <w:br/>
        <w:t>農住組合法第四十二条第一項</w:t>
      </w:r>
    </w:p>
    <w:p>
      <w:pPr>
        <w:pStyle w:val="Heading4"/>
      </w:pPr>
      <w:r>
        <w:t>第四条（電磁的記録による保存の方法）</w:t>
      </w:r>
    </w:p>
    <w:p>
      <w:r>
        <w:t>民間事業者等が、法第三条第一項の規定に基づき、前条各号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情報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直ちに明瞭な状態で、その使用に係る電子計算機の映像面に表示及び当該事項を記載した書面を作成することができる措置を講じなければならない。</w:t>
      </w:r>
    </w:p>
    <w:p>
      <w:pPr>
        <w:pStyle w:val="Heading5"/>
        <w:ind w:left="440"/>
      </w:pPr>
      <w:r>
        <w:t>３</w:t>
      </w:r>
    </w:p>
    <w:p>
      <w:pPr>
        <w:ind w:left="440"/>
      </w:pPr>
      <w:r>
        <w:t>農住組合法第四十一条第一項及び第二項の規定に基づき、同一内容の書面を二以上の事務所等（当該書面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置く電子計算機の映像面に表示及び当該事項を記載した書面を作成することが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法第四条第一項の主務省令で定める作成は、次に掲げる規定に基づく書面の作成とする。</w:t>
      </w:r>
    </w:p>
    <w:p>
      <w:pPr>
        <w:pStyle w:val="ListBullet"/>
        <w:ind w:left="880"/>
      </w:pPr>
      <w:r>
        <w:t>一</w:t>
        <w:br/>
        <w:t>農住組合法第二十九条第一項及び第二項</w:t>
      </w:r>
    </w:p>
    <w:p>
      <w:pPr>
        <w:pStyle w:val="ListBullet"/>
        <w:ind w:left="880"/>
      </w:pPr>
      <w:r>
        <w:t>二</w:t>
        <w:br/>
        <w:t>農住組合法第四十一条第三項</w:t>
      </w:r>
    </w:p>
    <w:p>
      <w:pPr>
        <w:pStyle w:val="ListBullet"/>
        <w:ind w:left="880"/>
      </w:pPr>
      <w:r>
        <w:t>三</w:t>
        <w:br/>
        <w:t>農住組合法第五十条の三</w:t>
      </w:r>
    </w:p>
    <w:p>
      <w:pPr>
        <w:pStyle w:val="Heading4"/>
      </w:pPr>
      <w:r>
        <w:t>第六条（電磁的記録による作成の方法）</w:t>
      </w:r>
    </w:p>
    <w:p>
      <w:r>
        <w:t>民間事業者等が、法第四条第一項の規定に基づき、前条各号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法第四条第三項の主務省令で定める措置は、電子署名（電子署名及び認証業務に関する法律（平成十二年法律第百二号）第二条第一項に規定する電子署名をいう。）とする。</w:t>
      </w:r>
    </w:p>
    <w:p>
      <w:pPr>
        <w:pStyle w:val="Heading4"/>
      </w:pPr>
      <w:r>
        <w:t>第八条（法第五条第一項の主務省令で定める縦覧等）</w:t>
      </w:r>
    </w:p>
    <w:p>
      <w:r>
        <w:t>法第五条第一項の主務省令で定める縦覧等は、次に掲げる規定に基づく書面の縦覧等とする。</w:t>
      </w:r>
    </w:p>
    <w:p>
      <w:pPr>
        <w:pStyle w:val="ListBullet"/>
        <w:ind w:left="880"/>
      </w:pPr>
      <w:r>
        <w:t>一</w:t>
        <w:br/>
        <w:t>農住組合法第四十一条第四項</w:t>
      </w:r>
    </w:p>
    <w:p>
      <w:pPr>
        <w:pStyle w:val="ListBullet"/>
        <w:ind w:left="880"/>
      </w:pPr>
      <w:r>
        <w:t>二</w:t>
        <w:br/>
        <w:t>農住組合法第四十二条第二項</w:t>
      </w:r>
    </w:p>
    <w:p>
      <w:pPr>
        <w:pStyle w:val="Heading4"/>
      </w:pPr>
      <w:r>
        <w:t>第九条（電磁的記録による縦覧等の方法）</w:t>
      </w:r>
    </w:p>
    <w:p>
      <w:r>
        <w:t>民間事業者等が、法第五条第一項の規定に基づき、前条各号に掲げる規定に基づく書面の縦覧等に代えて当該書面に係る電磁的記録に記録されている事項の縦覧等を行う場合は、当該事項を民間事業者等の事務所等に備え置く電子計算機の映像面に表示する方法又は当該事項を記載した書類を備え置く方法により行わなければならない。</w:t>
      </w:r>
    </w:p>
    <w:p>
      <w:pPr>
        <w:pStyle w:val="Heading4"/>
      </w:pPr>
      <w:r>
        <w:t>第十条（法第六条第一項の主務省令で定める交付等）</w:t>
      </w:r>
    </w:p>
    <w:p>
      <w:r>
        <w:t>法第六条第一項の主務省令で定める交付等は、農住組合法第四十二条第一項及び第三項の規定に基づく書面の交付等とする。</w:t>
      </w:r>
    </w:p>
    <w:p>
      <w:pPr>
        <w:pStyle w:val="Heading4"/>
      </w:pPr>
      <w:r>
        <w:t>第十一条（電磁的記録による交付等の方法）</w:t>
      </w:r>
    </w:p>
    <w:p>
      <w:r>
        <w:t>民間事業者等が、法第六条第一項の規定に基づき、農住組合法第四十二条第一項及び第三項の規定に基づく書面の交付等に代えて当該書面に係る電磁的記録に記録されている事項の交付等を行う場合は、次に掲げる方法のいずれかにより行わなければならない。</w:t>
      </w:r>
    </w:p>
    <w:p>
      <w:pPr>
        <w:pStyle w:val="ListBullet"/>
        <w:ind w:left="880"/>
      </w:pPr>
      <w:r>
        <w:t>一</w:t>
        <w:br/>
        <w:t>電子情報処理組織を使用する方法のうち次のいずれかに該当するもの</w:t>
      </w:r>
    </w:p>
    <w:p>
      <w:pPr>
        <w:pStyle w:val="ListBullet"/>
        <w:ind w:left="880"/>
      </w:pPr>
      <w:r>
        <w:t>二</w:t>
        <w:br/>
        <w:t>磁気ディスク等をもって調製するファイルに記録したものを交付する方法</w:t>
      </w:r>
    </w:p>
    <w:p>
      <w:pPr>
        <w:pStyle w:val="Heading5"/>
        <w:ind w:left="440"/>
      </w:pPr>
      <w:r>
        <w:t>２</w:t>
      </w:r>
    </w:p>
    <w:p>
      <w:pPr>
        <w:ind w:left="440"/>
      </w:pPr>
      <w:r>
        <w:t>前項に掲げる方法は、交付等の相手方がファイルに記録された事項を出力することにより、書面を作成することができるものでなければならない。</w:t>
      </w:r>
    </w:p>
    <w:p>
      <w:pPr>
        <w:pStyle w:val="Heading4"/>
      </w:pPr>
      <w:r>
        <w:t>第十二条（電磁的方法による承諾）</w:t>
      </w:r>
    </w:p>
    <w:p>
      <w:r>
        <w:t>民間事業者等は、法第六条第一項の規定により同項に規定する事項の交付等を行おうとするときは、次に掲げる事項を当該交付等の相手方に示さなければならない。</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この省令の施行前にした農住組合法第四十一条第一項、第二項及び第四項並びに第四十二条第一項及び第二項の規定に違反する行為に対する罰則の適用については、なお従前の例による。</w:t>
      </w:r>
    </w:p>
    <w:p>
      <w:r>
        <w:br w:type="page"/>
      </w:r>
    </w:p>
    <w:p>
      <w:pPr>
        <w:pStyle w:val="Heading1"/>
      </w:pPr>
      <w:r>
        <w:t>附則（平成一八年四月二八日農林水産省・国土交通省令第四号）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農住組合法に係る民間事業者等が行う書面の保存等における情報通信の技術の利用に関する法律施行規則</w:t>
      <w:br/>
      <w:tab/>
      <w:t>（平成十七年農林水産省・国土交通省令第三号）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農住組合法に係る民間事業者等が行う書面の保存等における情報通信の技術の利用に関する法律施行規則（平成十七年農林水産省・国土交通省令第三号）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