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農林水産省関係科学技術・イノベーション創出の活性化に関する法律施行規則</w:t>
        <w:br/>
        <w:t>（平成二十年農林水産省令第六十八号）</w:t>
      </w:r>
    </w:p>
    <w:p>
      <w:pPr>
        <w:pStyle w:val="Heading4"/>
      </w:pPr>
      <w:r>
        <w:t>第一条（外国人を任用できない職の範囲）</w:t>
      </w:r>
    </w:p>
    <w:p>
      <w:r>
        <w:t>科学技術・イノベーション創出の活性化に関する法律施行令（平成二十年政令第三百十四号。以下「令」という。）第三条第一項の命令で定める職は、農林水産政策研究所の次長とする。</w:t>
      </w:r>
    </w:p>
    <w:p>
      <w:pPr>
        <w:pStyle w:val="Heading4"/>
      </w:pPr>
      <w:r>
        <w:t>第二条（本邦法人又は外国法人等の範囲）</w:t>
      </w:r>
    </w:p>
    <w:p>
      <w:r>
        <w:t>令第六条第四項第三号の命令で定める本邦法人又は外国法人等は、次に掲げる本邦法人又は外国法人等とする。</w:t>
      </w:r>
    </w:p>
    <w:p>
      <w:pPr>
        <w:pStyle w:val="Heading6"/>
        <w:ind w:left="880"/>
      </w:pPr>
      <w:r>
        <w:t>一</w:t>
      </w:r>
    </w:p>
    <w:p>
      <w:pPr>
        <w:ind w:left="880"/>
      </w:pPr>
      <w:r>
        <w:t>発明者等が所属する本邦法人又は外国法人等（以下「特定法人等」という。）により発行済株式の総数、出資口数の総数又は出資価額の総額（以下「発行済株式の総数等」という。）の百分の五十を超える数又は額の株式又は出資を所有されている法人（以下「特定子会社」という。）</w:t>
      </w:r>
    </w:p>
    <w:p>
      <w:pPr>
        <w:pStyle w:val="Heading6"/>
        <w:ind w:left="880"/>
      </w:pPr>
      <w:r>
        <w:t>二</w:t>
      </w:r>
    </w:p>
    <w:p>
      <w:pPr>
        <w:ind w:left="880"/>
      </w:pPr>
      <w:r>
        <w:t>特定法人等の発行済株式の総数等の百分の五十を超える数又は額の株式又は出資を所有する法人（以下「特定親会社」という。）</w:t>
      </w:r>
    </w:p>
    <w:p>
      <w:pPr>
        <w:pStyle w:val="Heading6"/>
        <w:ind w:left="880"/>
      </w:pPr>
      <w:r>
        <w:t>三</w:t>
      </w:r>
    </w:p>
    <w:p>
      <w:pPr>
        <w:ind w:left="880"/>
      </w:pPr>
      <w: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Heading6"/>
        <w:ind w:left="880"/>
      </w:pPr>
      <w:r>
        <w:t>四</w:t>
      </w:r>
    </w:p>
    <w:p>
      <w:pPr>
        <w:ind w:left="880"/>
      </w:pPr>
      <w:r>
        <w:t>法人で、その所有する特定法人等の株式又は出資の数又は額と、当該法人に係る子会社（当該法人により発行済株式の総数等の百分の五十を超える数又は額の株式又は出資を所有されている会社をいう。以下同じ。）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Heading6"/>
        <w:ind w:left="880"/>
      </w:pPr>
      <w:r>
        <w:t>五</w:t>
      </w:r>
    </w:p>
    <w:p>
      <w:pPr>
        <w:ind w:left="880"/>
      </w:pPr>
      <w:r>
        <w:t>特定親会社により発行済株式の総数等の百分の五十を超える数又は額の株式又は出資を所有されている法人</w:t>
      </w:r>
    </w:p>
    <w:p>
      <w:pPr>
        <w:pStyle w:val="Heading6"/>
        <w:ind w:left="880"/>
      </w:pPr>
      <w:r>
        <w:t>六</w:t>
      </w:r>
    </w:p>
    <w:p>
      <w:pPr>
        <w:ind w:left="880"/>
      </w:pPr>
      <w: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第三条（国有施設の減額使用の手続）</w:t>
      </w:r>
    </w:p>
    <w:p>
      <w:r>
        <w:t>令別表第一の一の項第七号及び第八号に掲げる機関（以下単に「機関」という。）の国有の試験研究施設の使用に関し、令第八条第一項の認定を受けようとする者は、別記様式第一号による申請書の正本一通及び副本一通を農林水産大臣に提出しなければならない。</w:t>
      </w:r>
    </w:p>
    <w:p>
      <w:pPr>
        <w:pStyle w:val="Heading5"/>
        <w:ind w:left="440"/>
      </w:pPr>
      <w:r>
        <w:t>２</w:t>
      </w:r>
    </w:p>
    <w:p>
      <w:pPr>
        <w:ind w:left="440"/>
      </w:pPr>
      <w:r>
        <w:t>農林水産大臣は、前項の申請書を受理した場合において、令第八条第一項の認定をしたときは、その申請をした者に別記様式第二号による認定書を交付するものとする。</w:t>
      </w:r>
    </w:p>
    <w:p>
      <w:pPr>
        <w:pStyle w:val="Heading4"/>
      </w:pPr>
      <w:r>
        <w:t>第四条（国有地の減額使用の手続）</w:t>
      </w:r>
    </w:p>
    <w:p>
      <w:r>
        <w:t>機関の敷地内に整備する施設の用に供する土地の使用に関し、令第九条第一項の認定を受けようとする者は、別記様式第三号による申請書の正本一通及び副本一通を農林水産大臣に提出しなければならない。</w:t>
      </w:r>
    </w:p>
    <w:p>
      <w:pPr>
        <w:pStyle w:val="Heading5"/>
        <w:ind w:left="440"/>
      </w:pPr>
      <w:r>
        <w:t>２</w:t>
      </w:r>
    </w:p>
    <w:p>
      <w:pPr>
        <w:ind w:left="440"/>
      </w:pPr>
      <w:r>
        <w:t>農林水産大臣は、前項の申請書を受理した場合において、令第九条第一項の認定をしたときは、その申請をした者に別記様式第四号による認定書を交付するものとする。</w:t>
      </w:r>
    </w:p>
    <w:p>
      <w:pPr>
        <w:pStyle w:val="Heading4"/>
      </w:pPr>
      <w:r>
        <w:t>第五条（中核的研究機関の公示）</w:t>
      </w:r>
    </w:p>
    <w:p>
      <w:r>
        <w:t>科学技術・イノベーション創出の活性化に関する法律（平成二十年法律第六十三号。以下「法」という。）第三十七条第一項の規定による公示は、次に掲げる事項を官報に掲載して行うものとする。</w:t>
      </w:r>
    </w:p>
    <w:p>
      <w:pPr>
        <w:pStyle w:val="Heading6"/>
        <w:ind w:left="880"/>
      </w:pPr>
      <w:r>
        <w:t>一</w:t>
      </w:r>
    </w:p>
    <w:p>
      <w:pPr>
        <w:ind w:left="880"/>
      </w:pPr>
      <w:r>
        <w:t>中核的研究機関の名称</w:t>
      </w:r>
    </w:p>
    <w:p>
      <w:pPr>
        <w:pStyle w:val="Heading6"/>
        <w:ind w:left="880"/>
      </w:pPr>
      <w:r>
        <w:t>二</w:t>
      </w:r>
    </w:p>
    <w:p>
      <w:pPr>
        <w:ind w:left="880"/>
      </w:pPr>
      <w:r>
        <w:t>法第三十七条第一項の特定の分野</w:t>
      </w:r>
    </w:p>
    <w:p>
      <w:pPr>
        <w:pStyle w:val="Heading4"/>
      </w:pPr>
      <w:r>
        <w:t>第六条（中核的研究機関に係る特例）</w:t>
      </w:r>
    </w:p>
    <w:p>
      <w:r>
        <w:t>機関が中核的研究機関である場合において、当該機関の国有の試験研究施設の使用に関し、令第十一条第一項の認定を受けようとする者は、別記様式第五号による申請書の正本一通及び副本一通を農林水産大臣に提出しなければならない。</w:t>
      </w:r>
    </w:p>
    <w:p>
      <w:pPr>
        <w:pStyle w:val="Heading5"/>
        <w:ind w:left="440"/>
      </w:pPr>
      <w:r>
        <w:t>２</w:t>
      </w:r>
    </w:p>
    <w:p>
      <w:pPr>
        <w:ind w:left="440"/>
      </w:pPr>
      <w:r>
        <w:t>農林水産大臣は、前項の申請書を受理した場合において、令第十一条第一項の認定をしたときは、その申請をした者に別記様式第六号による認定書を交付するものとする。</w:t>
      </w:r>
    </w:p>
    <w:p>
      <w:pPr>
        <w:pStyle w:val="Heading4"/>
      </w:pPr>
      <w:r>
        <w:t>第七条</w:t>
      </w:r>
    </w:p>
    <w:p>
      <w:r>
        <w:t>機関が中核的研究機関である場合において、当該機関の敷地内に整備する施設の用に供する土地の使用に関し、令第十二条第一項の認定を受けようとする者は、別記様式第七号による申請書の正本一通及び副本一通を農林水産大臣に提出しなければならない。</w:t>
      </w:r>
    </w:p>
    <w:p>
      <w:pPr>
        <w:pStyle w:val="Heading5"/>
        <w:ind w:left="440"/>
      </w:pPr>
      <w:r>
        <w:t>２</w:t>
      </w:r>
    </w:p>
    <w:p>
      <w:pPr>
        <w:ind w:left="440"/>
      </w:pPr>
      <w:r>
        <w:t>農林水産大臣は、前項の申請書を受理した場合において、令第十二条第一項の認定をしたときは、その申請をした者に別記様式第八号による認定書を交付するものとする。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第二条（農林水産省関係研究交流促進法施行規則の廃止）</w:t>
      </w:r>
    </w:p>
    <w:p>
      <w:r>
        <w:t>農林水産省関係研究交流促進法施行規則（昭和六十一年農林水産省令第四十七号）は、廃止する。</w:t>
      </w:r>
    </w:p>
    <w:p>
      <w:r>
        <w:br w:type="page"/>
      </w:r>
    </w:p>
    <w:p>
      <w:pPr>
        <w:pStyle w:val="Heading1"/>
      </w:pPr>
      <w:r>
        <w:t>附　則（平成三一年一月一七日農林水産省令第三号）</w:t>
      </w:r>
    </w:p>
    <w:p>
      <w:pPr>
        <w:pStyle w:val="Heading4"/>
      </w:pPr>
      <w:r>
        <w:t>第一条（施行期日）</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pPr>
        <w:pStyle w:val="Heading4"/>
      </w:pPr>
      <w:r>
        <w:t>第二条（経過措置）</w:t>
      </w:r>
    </w:p>
    <w:p>
      <w:r>
        <w:t>この省令の施行の際現にある第一条の規定による改正前の農林水産省関係研究開発システムの改革の推進等による研究開発能力の強化及び研究開発等の効率的推進等に関する法律施行規則の様式（次項において「旧様式」という。）により使用されている書類は、同条の規定による改正後の農林水産省関係科学技術・イノベーション創出の活性化に関する法律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w:t>
      </w:r>
    </w:p>
    <w:p>
      <w:r>
        <w:t>第三条の規定による改正後の国立研究開発法人国際農林水産業研究センターの業務運営、財務及び会計並びに人事管理に関する省令第四条第一号（国立研究開発法人国際農林水産業研究センター法（平成十一年法律第百九十七号）第十一条第三号に掲げる業務に係る部分に限る。）、第四条の規定による改正後の国立研究開発法人森林研究・整備機構の業務運営、財務及び会計並びに人事管理に関する省令第四条第五号並びに第五条の規定による改正後の国立研究開発法人水産研究・教育機構の業務運営、財務及び会計並びに人事管理に関する省令第四条第六号及び第十号の規定は、この省令の施行の日から起算して六月間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農林水産省関係科学技術・イノベーション創出の活性化に関する法律施行規則</w:t>
      <w:br/>
      <w:tab/>
      <w:t>（平成二十年農林水産省令第六十八号）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農林水産省関係科学技術・イノベーション創出の活性化に関する法律施行規則（平成二十年農林水産省令第六十八号）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