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農業共済再保険特別会計における果樹共済に係る再保険金及び漁船再保険及漁業共済保険特別会計における漁業共済に係る保険金の支払財源の不足に充てるための一般会計からする繰入金に関する法律</w:t>
        <w:br/>
        <w:t>（昭和五十五年法律第三号）</w:t>
      </w:r>
    </w:p>
    <w:p>
      <w:pPr>
        <w:pStyle w:val="Heading5"/>
        <w:ind w:left="440"/>
      </w:pPr>
      <w:r>
        <w:t>１</w:t>
      </w:r>
    </w:p>
    <w:p>
      <w:pPr>
        <w:ind w:left="440"/>
      </w:pPr>
      <w:r>
        <w:t>政府は、農業共済再保険特別会計の果樹勘定における果樹共済に係る再保険金及び漁船再保険及漁業共済保険特別会計の漁業共済保険勘定における漁業共済に係る保険金の支払財源の不足に充てるため、昭和五十四年度において、一般会計から、農業共済再保険特別会計の果樹勘定に七十八億千四百五十万八千円、漁船再保険及漁業共済保険特別会計の漁業共済保険勘定に百十二億七千九十六万二千円を限り、それぞれ繰り入れることができる。</w:t>
      </w:r>
    </w:p>
    <w:p>
      <w:pPr>
        <w:pStyle w:val="Heading5"/>
        <w:ind w:left="440"/>
      </w:pPr>
      <w:r>
        <w:t>２</w:t>
      </w:r>
    </w:p>
    <w:p>
      <w:pPr>
        <w:ind w:left="440"/>
      </w:pPr>
      <w:r>
        <w:t>政府は、前項の規定による農業共済再保険特別会計の果樹勘定への繰入金については、後日、食料安定供給特別会計の農業共済再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pPr>
        <w:pStyle w:val="Heading5"/>
        <w:ind w:left="440"/>
      </w:pPr>
      <w:r>
        <w:t>３</w:t>
      </w:r>
    </w:p>
    <w:p>
      <w:pPr>
        <w:ind w:left="440"/>
      </w:pPr>
      <w:r>
        <w:t>政府は、第一項の規定による漁船再保険及漁業共済保険特別会計の漁業共済保険勘定への繰入金については、後日、食料安定供給特別会計の漁業共済保険勘定において決算上の剰余を生じた場合には、特別会計に関する法律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農業共済再保険特別会計における果樹共済に係る再保険金及び漁船再保険及漁業共済保険特別会計における漁業共済に係る保険金の支払財源の不足に充てるための一般会計からする繰入金に関する法律</w:t>
      <w:br/>
      <w:tab/>
      <w:t>（昭和五十五年法律第三号）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果樹共済に係る再保険金及び漁船再保険及漁業共済保険特別会計における漁業共済に係る保険金の支払財源の不足に充てるための一般会計からする繰入金に関する法律（昭和五十五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