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農水産業協同組合の再生手続の特例等に関する法律施行令</w:t>
        <w:br/>
        <w:t>（平成十三年政令第三十二号）</w:t>
      </w:r>
    </w:p>
    <w:p>
      <w:pPr>
        <w:pStyle w:val="Heading4"/>
      </w:pPr>
      <w:r>
        <w:t>第一条（貯金等債権から除かれるもの）</w:t>
      </w:r>
    </w:p>
    <w:p>
      <w:r>
        <w:t>農水産業協同組合の再生手続の特例等に関する法律（以下「法」という。）第二条第二項に規定する政令で定めるものは、農水産業協同組合貯金保険法施行令（昭和四十八年政令第二百一号）第二十四条に規定する貯金等とする。</w:t>
      </w:r>
    </w:p>
    <w:p>
      <w:pPr>
        <w:pStyle w:val="Heading4"/>
      </w:pPr>
      <w:r>
        <w:t>第二条（内閣総理大臣から金融庁長官に委任されない権限）</w:t>
      </w:r>
    </w:p>
    <w:p>
      <w:r>
        <w:t>法第四十七条に規定する政令で定めるものは、法第二十九条第一項の規定による破産手続開始の申立てとする。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則（平成一六年一〇月二〇日政令第三一八号）</w:t>
      </w:r>
    </w:p>
    <w:p>
      <w:r>
        <w:t>この政令は、破産法の施行の日（平成十七年一月一日）から施行する。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農水産業協同組合の再生手続の特例等に関する法律施行令</w:t>
      <w:br/>
      <w:tab/>
      <w:t>（平成十三年政令第三十二号）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農水産業協同組合の再生手続の特例等に関する法律施行令（平成十三年政令第三十二号）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