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近畿圏整備法施行令</w:t>
        <w:br/>
        <w:t>（昭和四十年政令第百五十九号）</w:t>
      </w:r>
    </w:p>
    <w:p>
      <w:pPr>
        <w:pStyle w:val="Heading4"/>
      </w:pPr>
      <w:r>
        <w:t>第一条（既成都市区域）</w:t>
      </w:r>
    </w:p>
    <w:p>
      <w:r>
        <w:t>近畿圏整備法（以下「法」という。）第二条第三項の政令で定める市街地の区域は、大阪市の区域及び別表に掲げる区域とする。</w:t>
      </w:r>
    </w:p>
    <w:p>
      <w:pPr>
        <w:pStyle w:val="Heading4"/>
      </w:pPr>
      <w:r>
        <w:t>第二条（広域性を有し、かつ、根幹となるべき施設）</w:t>
      </w:r>
    </w:p>
    <w:p>
      <w:r>
        <w:t>法第八条第一項第三号の政令で定める施設は、次に掲げるものとする。</w:t>
      </w:r>
    </w:p>
    <w:p>
      <w:pPr>
        <w:pStyle w:val="Heading6"/>
        <w:ind w:left="880"/>
      </w:pPr>
      <w:r>
        <w:t>一</w:t>
      </w:r>
    </w:p>
    <w:p>
      <w:pPr>
        <w:ind w:left="880"/>
      </w:pPr>
      <w:r>
        <w:t>次に掲げる施設のうち、交通通信網の幹線又は交通通信の拠点として広域的に整備する必要があるもの</w:t>
      </w:r>
    </w:p>
    <w:p>
      <w:pPr>
        <w:pStyle w:val="Heading6"/>
        <w:ind w:left="880"/>
      </w:pPr>
      <w:r>
        <w:t>二</w:t>
      </w:r>
    </w:p>
    <w:p>
      <w:pPr>
        <w:ind w:left="880"/>
      </w:pPr>
      <w:r>
        <w:t>次に掲げる施設のうち、国土の保全上重要なもの又は水資源の総合的な開発及び利用のため広域的に整備する必要があるもの</w:t>
      </w:r>
    </w:p>
    <w:p>
      <w:pPr>
        <w:pStyle w:val="Heading6"/>
        <w:ind w:left="880"/>
      </w:pPr>
      <w:r>
        <w:t>三</w:t>
      </w:r>
    </w:p>
    <w:p>
      <w:pPr>
        <w:ind w:left="880"/>
      </w:pPr>
      <w:r>
        <w:t>次に掲げる施設のうち、広域的な見地から配置及び規模を定める必要があるもの</w:t>
      </w:r>
    </w:p>
    <w:p>
      <w:r>
        <w:br w:type="page"/>
      </w:r>
    </w:p>
    <w:p>
      <w:pPr>
        <w:pStyle w:val="Heading1"/>
      </w:pPr>
      <w:r>
        <w:t>附　則</w:t>
      </w:r>
    </w:p>
    <w:p>
      <w:r>
        <w:t>この政令は、公布の日から施行する。</w:t>
      </w:r>
    </w:p>
    <w:p>
      <w:r>
        <w:br w:type="page"/>
      </w:r>
    </w:p>
    <w:p>
      <w:pPr>
        <w:pStyle w:val="Heading1"/>
      </w:pPr>
      <w:r>
        <w:t>附　則（昭和四二年一月六日政令第三号）</w:t>
      </w:r>
    </w:p>
    <w:p>
      <w:r>
        <w:t>この政令は、公布の日から施行する。</w:t>
      </w:r>
    </w:p>
    <w:p>
      <w:r>
        <w:br w:type="page"/>
      </w:r>
    </w:p>
    <w:p>
      <w:pPr>
        <w:pStyle w:val="Heading1"/>
      </w:pPr>
      <w:r>
        <w:t>附　則（昭和四四年四月一一日政令第九二号）</w:t>
      </w:r>
    </w:p>
    <w:p>
      <w:r>
        <w:t>この政令は、公布の日から施行する。</w:t>
      </w:r>
    </w:p>
    <w:p>
      <w:r>
        <w:br w:type="page"/>
      </w:r>
    </w:p>
    <w:p>
      <w:pPr>
        <w:pStyle w:val="Heading1"/>
      </w:pPr>
      <w:r>
        <w:t>附　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則（昭和五四年六月一二日政令第一七七号）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則（昭和五九年六月三〇日政令第二三九号）</w:t>
      </w:r>
    </w:p>
    <w:p>
      <w:pPr>
        <w:pStyle w:val="Heading4"/>
      </w:pPr>
      <w:r>
        <w:t>第一条（施行期日）</w:t>
      </w:r>
    </w:p>
    <w:p>
      <w:r>
        <w:t>この政令は、公布の日から施行する。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近畿圏整備法施行令</w:t>
      <w:br/>
      <w:tab/>
      <w:t>（昭和四十年政令第百五十九号）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近畿圏整備法施行令（昭和四十年政令第百五十九号）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