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連続式蒸留機の新設及び拡張の臨時制限に関する省令</w:t>
        <w:br/>
        <w:t>（昭和二十八年大蔵省令第九号）</w:t>
      </w:r>
    </w:p>
    <w:p>
      <w:r>
        <w:t>酒類の製造者は、連続式蒸留機（酒税法（昭和二十八年法律第六号）第三条第九号に規定する連続式蒸留機をいう。以下同じ。）をその製造場に新たに設置し、又は既に設置されている連続式蒸留機の拡張（連続式蒸留機に加工し、そのアルコールの生産能力を増加させることをいう。以下同じ。）をしようとするときは、当分の間、財務大臣の承認を受けなければならない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前項の承認を受けようとする者は、左の事項を記載した申請書を、その製造場の所在地の所轄税務署長を経由して、財務大臣に提出しなければならない。</w:t>
      </w:r>
    </w:p>
    <w:p>
      <w:pPr>
        <w:pStyle w:val="Heading6"/>
        <w:ind w:left="880"/>
      </w:pPr>
      <w:r>
        <w:t>一</w:t>
      </w:r>
    </w:p>
    <w:p>
      <w:pPr>
        <w:ind w:left="880"/>
      </w:pPr>
      <w:r>
        <w:t>申請者の住所及び氏名又は名称</w:t>
      </w:r>
    </w:p>
    <w:p>
      <w:pPr>
        <w:pStyle w:val="Heading6"/>
        <w:ind w:left="880"/>
      </w:pPr>
      <w:r>
        <w:t>二</w:t>
      </w:r>
    </w:p>
    <w:p>
      <w:pPr>
        <w:ind w:left="880"/>
      </w:pPr>
      <w:r>
        <w:t>製造場の位置</w:t>
      </w:r>
    </w:p>
    <w:p>
      <w:pPr>
        <w:pStyle w:val="Heading6"/>
        <w:ind w:left="880"/>
      </w:pPr>
      <w:r>
        <w:t>三</w:t>
      </w:r>
    </w:p>
    <w:p>
      <w:pPr>
        <w:ind w:left="880"/>
      </w:pPr>
      <w:r>
        <w:t>新たに設置する場合にあつては、当該連続式蒸留機のアルコールの生産能力、拡張する場合にあつては、当該連続式蒸留機の昭和二十六年五月二十二日、申請時及び当該拡張後におけるアルコールの生産能力</w:t>
      </w:r>
    </w:p>
    <w:p>
      <w:pPr>
        <w:pStyle w:val="Heading6"/>
        <w:ind w:left="880"/>
      </w:pPr>
      <w:r>
        <w:t>四</w:t>
      </w:r>
    </w:p>
    <w:p>
      <w:pPr>
        <w:ind w:left="880"/>
      </w:pPr>
      <w:r>
        <w:t>申請の事由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この省令は、昭和二十八年三月一日から施行する。</w:t>
      </w:r>
    </w:p>
    <w:p>
      <w:r>
        <w:br w:type="page"/>
      </w:r>
    </w:p>
    <w:p>
      <w:pPr>
        <w:pStyle w:val="Heading1"/>
      </w:pPr>
      <w:r>
        <w:t>附　則（昭和三七年三月三一日大蔵省令第二六号）</w:t>
      </w:r>
    </w:p>
    <w:p>
      <w:r>
        <w:t>この省令は、昭和三十七年四月一日から施行する。</w:t>
      </w:r>
    </w:p>
    <w:p>
      <w:r>
        <w:br w:type="page"/>
      </w:r>
    </w:p>
    <w:p>
      <w:pPr>
        <w:pStyle w:val="Heading1"/>
      </w:pPr>
      <w:r>
        <w:t>附　則（平成一二年八月二一日大蔵省令第六九号）</w:t>
      </w:r>
    </w:p>
    <w:p>
      <w:r>
        <w:t>この省令は、平成十三年一月六日から施行する。</w:t>
      </w:r>
    </w:p>
    <w:p>
      <w:r>
        <w:br w:type="page"/>
      </w:r>
    </w:p>
    <w:p>
      <w:pPr>
        <w:pStyle w:val="Heading1"/>
      </w:pPr>
      <w:r>
        <w:t>附　則（平成一八年三月三一日財務省令第二五号）</w:t>
      </w:r>
    </w:p>
    <w:p>
      <w:pPr>
        <w:pStyle w:val="Heading4"/>
      </w:pPr>
      <w:r>
        <w:t>第一条（施行期日）</w:t>
      </w:r>
    </w:p>
    <w:p>
      <w:r>
        <w:t>この省令は、平成十八年五月一日から施行する。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連続式蒸留機の新設及び拡張の臨時制限に関する省令</w:t>
      <w:br/>
      <w:tab/>
      <w:t>（昭和二十八年大蔵省令第九号）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連続式蒸留機の新設及び拡張の臨時制限に関する省令（昭和二十八年大蔵省令第九号）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