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運輸安全委員会設置法施行令</w:t>
        <w:br/>
        <w:t>（昭和四十八年政令第三百七十七号）</w:t>
      </w:r>
    </w:p>
    <w:p>
      <w:pPr>
        <w:pStyle w:val="Heading4"/>
      </w:pPr>
      <w:r>
        <w:t>第一条（専門委員の任命及び任期）</w:t>
      </w:r>
    </w:p>
    <w:p>
      <w:r>
        <w:t>国土交通大臣は、専門委員を任命するときは、その者が調査に従事する事故等及び調査すべき分野を指定するものとする。</w:t>
      </w:r>
    </w:p>
    <w:p>
      <w:pPr>
        <w:pStyle w:val="Heading5"/>
        <w:ind w:left="440"/>
      </w:pPr>
      <w:r>
        <w:t>２</w:t>
      </w:r>
    </w:p>
    <w:p>
      <w:pPr>
        <w:ind w:left="440"/>
      </w:pPr>
      <w:r>
        <w:t>専門委員の任期は、その従事する全ての事故等調査について運輸安全委員会設置法（昭和四十八年法律第百十三号）第二十五条第一項の規定による報告書の提出又は同条第三項後段の規定による結果の報告がされる時までの期間とする。</w:t>
      </w:r>
    </w:p>
    <w:p>
      <w:pPr>
        <w:pStyle w:val="Heading4"/>
      </w:pPr>
      <w:r>
        <w:t>第二条（部会）</w:t>
      </w:r>
    </w:p>
    <w:p>
      <w:r>
        <w:t>委員会は、その定めるところにより、部会を置くことができる。</w:t>
      </w:r>
    </w:p>
    <w:p>
      <w:pPr>
        <w:pStyle w:val="Heading5"/>
        <w:ind w:left="440"/>
      </w:pPr>
      <w:r>
        <w:t>２</w:t>
      </w:r>
    </w:p>
    <w:p>
      <w:pPr>
        <w:ind w:left="440"/>
      </w:pPr>
      <w:r>
        <w:t>部会に属すべき委員及び専門委員は、委員長が指名する。</w:t>
      </w:r>
    </w:p>
    <w:p>
      <w:pPr>
        <w:pStyle w:val="Heading5"/>
        <w:ind w:left="440"/>
      </w:pPr>
      <w:r>
        <w:t>３</w:t>
      </w:r>
    </w:p>
    <w:p>
      <w:pPr>
        <w:ind w:left="440"/>
      </w:pPr>
      <w:r>
        <w:t>部会に、部会長を置き、当該部会に属する委員（当該部会に委員長が属する場合には、委員長を含む。以下同じ。）の互選により選任する。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委員会は、その定めるところにより、部会の議決をもつて委員会の議決とすることができる。</w:t>
      </w:r>
    </w:p>
    <w:p>
      <w:pPr>
        <w:pStyle w:val="Heading4"/>
      </w:pPr>
      <w:r>
        <w:t>第三条（運輸安全委員会規則への委任）</w:t>
      </w:r>
    </w:p>
    <w:p>
      <w:r>
        <w:t>事故等調査の実施要領、原因関係者等の意見の聴取の手続その他の委員会の事務の処理に関し必要な事項は、運輸安全委員会規則で定める。</w:t>
      </w:r>
    </w:p>
    <w:p>
      <w:r>
        <w:br w:type="page"/>
      </w:r>
    </w:p>
    <w:p>
      <w:pPr>
        <w:pStyle w:val="Heading1"/>
      </w:pPr>
      <w:r>
        <w:t>附　則</w:t>
      </w:r>
    </w:p>
    <w:p>
      <w:pPr>
        <w:pStyle w:val="Heading5"/>
        <w:ind w:left="440"/>
      </w:pPr>
      <w:r>
        <w:t>１</w:t>
      </w:r>
    </w:p>
    <w:p>
      <w:pPr>
        <w:ind w:left="440"/>
      </w:pPr>
      <w:r>
        <w:t>この政令は、航空事故調査委員会設置法の施行の日（昭和四十九年一月十一日）から施行する。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附則（平成一三年六月二九日政令第二一九号）</w:t>
      </w:r>
    </w:p>
    <w:p>
      <w:r>
        <w:t>この政令は、航空事故調査委員会設置法等の一部を改正する法律の施行の日（平成十三年十月一日）から施行する。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附則（令和二年五月一一日政令第一六六号）</w:t>
      </w:r>
    </w:p>
    <w:p>
      <w:r>
        <w:t>この政令は、航空法及び運輸安全委員会設置法の一部を改正する法律（令和元年法律第三十八号）の施行の日（令和二年六月十八日）から施行する。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運輸安全委員会設置法施行令</w:t>
      <w:br/>
      <w:tab/>
      <w:t>（昭和四十八年政令第三百七十七号）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運輸安全委員会設置法施行令（昭和四十八年政令第三百七十七号）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