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運輸審議会令</w:t>
        <w:br/>
        <w:t>（平成十二年政令第三百一号）</w:t>
      </w:r>
    </w:p>
    <w:p>
      <w:pPr>
        <w:pStyle w:val="Heading4"/>
      </w:pPr>
      <w:r>
        <w:t>第一条（専門委員）</w:t>
      </w:r>
    </w:p>
    <w:p>
      <w:r>
        <w:t>運輸審議会（以下「審議会」という。）に、専門の事項を調査させるため必要があるときは、専門委員を置くことができる。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専門委員は、当該専門の事項に関し学識経験のある者のうちから、国土交通大臣が任命する。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第二条（部会）</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第三条（議決方法）</w:t>
      </w:r>
    </w:p>
    <w:p>
      <w:r>
        <w:t>審議会は、委員の過半数が出席しなければ、会議を開き、議決することができない。</w:t>
      </w:r>
    </w:p>
    <w:p>
      <w:pPr>
        <w:pStyle w:val="Heading5"/>
        <w:ind w:left="440"/>
      </w:pPr>
      <w:r>
        <w:t>２</w:t>
      </w:r>
    </w:p>
    <w:p>
      <w:pPr>
        <w:ind w:left="440"/>
      </w:pPr>
      <w:r>
        <w:t>審議会の議事は、出席委員の過半数で決し、可否同数のときは、会長の決するところによる。</w:t>
      </w:r>
    </w:p>
    <w:p>
      <w:pPr>
        <w:pStyle w:val="Heading5"/>
        <w:ind w:left="440"/>
      </w:pPr>
      <w:r>
        <w:t>３</w:t>
      </w:r>
    </w:p>
    <w:p>
      <w:pPr>
        <w:ind w:left="440"/>
      </w:pPr>
      <w:r>
        <w:t>特定の事案につき特別の利害関係を有する委員は、審議会の決議があったときは、当該事案に係る議決に参加することができない。</w:t>
      </w:r>
    </w:p>
    <w:p>
      <w:pPr>
        <w:pStyle w:val="Heading5"/>
        <w:ind w:left="440"/>
      </w:pPr>
      <w:r>
        <w:t>４</w:t>
      </w:r>
    </w:p>
    <w:p>
      <w:pPr>
        <w:ind w:left="440"/>
      </w:pPr>
      <w:r>
        <w:t>審議会は、国の関係行政機関の職員をその会議に出席させて必要な説明を求めることができる。</w:t>
      </w:r>
    </w:p>
    <w:p>
      <w:pPr>
        <w:pStyle w:val="Heading5"/>
        <w:ind w:left="440"/>
      </w:pPr>
      <w:r>
        <w:t>５</w:t>
      </w:r>
    </w:p>
    <w:p>
      <w:pPr>
        <w:ind w:left="440"/>
      </w:pPr>
      <w:r>
        <w:t>国の関係行政機関の長は、その職員を審議会に出席させて意見を述べさせ、又は説明をさせることができる。</w:t>
      </w:r>
    </w:p>
    <w:p>
      <w:pPr>
        <w:pStyle w:val="Heading5"/>
        <w:ind w:left="440"/>
      </w:pPr>
      <w:r>
        <w:t>６</w:t>
      </w:r>
    </w:p>
    <w:p>
      <w:pPr>
        <w:ind w:left="440"/>
      </w:pPr>
      <w:r>
        <w:t>前各項の規定は、部会の議事について準用する。</w:t>
      </w:r>
    </w:p>
    <w:p>
      <w:pPr>
        <w:pStyle w:val="Heading4"/>
      </w:pPr>
      <w:r>
        <w:t>第四条（庶務）</w:t>
      </w:r>
    </w:p>
    <w:p>
      <w:r>
        <w:t>審議会の庶務は、国土交通省総合政策局総務課において処理する。</w:t>
      </w:r>
    </w:p>
    <w:p>
      <w:pPr>
        <w:pStyle w:val="Heading4"/>
      </w:pPr>
      <w:r>
        <w:t>第五条（公聴会の主宰）</w:t>
      </w:r>
    </w:p>
    <w:p>
      <w:r>
        <w:t>国土交通省設置法第二十三条の公聴会は、審議会が事案を指定して指名する国土交通省の職員が主宰する。</w:t>
      </w:r>
    </w:p>
    <w:p>
      <w:pPr>
        <w:pStyle w:val="Heading4"/>
      </w:pPr>
      <w:r>
        <w:t>第六条（報告書の作成）</w:t>
      </w:r>
    </w:p>
    <w:p>
      <w:r>
        <w:t>前条の規定により指名された委員又は国土交通省の職員は、公聴会の審理によって知ることができた事実を報告書として作成し、これを審議会に提出しなければならない。</w:t>
      </w:r>
    </w:p>
    <w:p>
      <w:pPr>
        <w:pStyle w:val="Heading4"/>
      </w:pPr>
      <w:r>
        <w:t>第七条（報告書の提示）</w:t>
      </w:r>
    </w:p>
    <w:p>
      <w:r>
        <w:t>審議会は、前条の報告書を国土交通省設置法第二十三条の利害関係人であって公聴会において意見を述べた者（以下この条及び次条において単に「利害関係人」という。）に提示しなければならない。</w:t>
      </w:r>
    </w:p>
    <w:p>
      <w:pPr>
        <w:pStyle w:val="Heading4"/>
      </w:pPr>
      <w:r>
        <w:t>第八条（申立て）</w:t>
      </w:r>
    </w:p>
    <w:p>
      <w:r>
        <w:t>前条の報告書の提示を受けた利害関係人は、報告書に誤りがあると認めるときは、その提示を受けた日から十五日以内にその旨の申立てをすることができる。</w:t>
      </w:r>
    </w:p>
    <w:p>
      <w:pPr>
        <w:pStyle w:val="Heading4"/>
      </w:pPr>
      <w:r>
        <w:t>第九条（再審理）</w:t>
      </w:r>
    </w:p>
    <w:p>
      <w:r>
        <w:t>審議会は、前条の申立てを審査して、報告書に誤りがあって審議会の決定に影響を及ぼすおそれがあると認めるときは、再び公聴会を開かなければならない。</w:t>
      </w:r>
    </w:p>
    <w:p>
      <w:pPr>
        <w:pStyle w:val="Heading4"/>
      </w:pPr>
      <w:r>
        <w:t>第十条（雑則）</w:t>
      </w:r>
    </w:p>
    <w:p>
      <w:r>
        <w:t>審議会の決定及び第六条の報告書は、国土交通省令の定めるところにより、公表しなければならない。</w:t>
      </w:r>
    </w:p>
    <w:p>
      <w:pPr>
        <w:pStyle w:val="Heading5"/>
        <w:ind w:left="440"/>
      </w:pPr>
      <w:r>
        <w:t>２</w:t>
      </w:r>
    </w:p>
    <w:p>
      <w:pPr>
        <w:ind w:left="440"/>
      </w:pPr>
      <w:r>
        <w:t>この政令に定めるもののほか、議事の手続その他審議会の運営に関し必要な事項は、国土交通省令で定める。</w:t>
      </w:r>
    </w:p>
    <w:p>
      <w:r>
        <w:br w:type="page"/>
      </w:r>
    </w:p>
    <w:p>
      <w:pPr>
        <w:pStyle w:val="Heading1"/>
      </w:pPr>
      <w:r>
        <w:t>附　則</w:t>
      </w:r>
    </w:p>
    <w:p>
      <w:r>
        <w:t>この政令は、平成十三年一月六日から施行する。</w:t>
      </w:r>
    </w:p>
    <w:p>
      <w:pPr>
        <w:pStyle w:val="Heading5"/>
        <w:ind w:left="440"/>
      </w:pPr>
      <w:r>
        <w:t>２</w:t>
      </w:r>
    </w:p>
    <w:p>
      <w:pPr>
        <w:ind w:left="440"/>
      </w:pPr>
      <w:r>
        <w:t>審議会が国土交通省設置法附則第八条第一項の規定に基づき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場合には、第五条及び第七条中「第二十三条」とあるのは、「第二十三条（同法附則第八条第二項において準用する場合を含む。）」と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則（平成一八年三月三一日政令第一五二号）</w:t>
      </w:r>
    </w:p>
    <w:p>
      <w:r>
        <w:t>この政令は、平成十八年四月一日から施行する。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運輸審議会令</w:t>
      <w:br/>
      <w:tab/>
      <w:t>（平成十二年政令第三百一号）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運輸審議会令（平成十二年政令第三百一号）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