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道路の修繕に関する法律</w:t>
        <w:br/>
        <w:t>（昭和二十三年法律第二百八十二号）</w:t>
      </w:r>
    </w:p>
    <w:p>
      <w:pPr>
        <w:pStyle w:val="Heading4"/>
      </w:pPr>
      <w:r>
        <w:t>第一条</w:t>
      </w:r>
    </w:p>
    <w:p>
      <w:r>
        <w:t>国は、当分の間、地方公共団体に対し、道路（道路法（昭和二十七年法律第百八十号）に規定する道路をいい、一般国道を除く。以下同じ。）の修繕に要する費用の一部を補助することができる。</w:t>
      </w:r>
    </w:p>
    <w:p>
      <w:pPr>
        <w:pStyle w:val="Heading5"/>
        <w:ind w:left="440"/>
      </w:pPr>
      <w:r>
        <w:t>２</w:t>
      </w:r>
    </w:p>
    <w:p>
      <w:pPr>
        <w:ind w:left="440"/>
      </w:pPr>
      <w:r>
        <w:t>前項の補助に関し、必要な事項は、政令で定める。</w:t>
      </w:r>
    </w:p>
    <w:p>
      <w:pPr>
        <w:pStyle w:val="Heading4"/>
      </w:pPr>
      <w:r>
        <w:t>第二条</w:t>
      </w:r>
    </w:p>
    <w:p>
      <w:r>
        <w:t>国土交通大臣は、当分の間、必要があると認めるときは、道路法第十三条第一項の規定にかかわらず、同項に規定する指定区間外の一般国道の修繕をすることができる。</w:t>
      </w:r>
    </w:p>
    <w:p>
      <w:pPr>
        <w:pStyle w:val="Heading5"/>
        <w:ind w:left="440"/>
      </w:pPr>
      <w:r>
        <w:t>２</w:t>
      </w:r>
    </w:p>
    <w:p>
      <w:pPr>
        <w:ind w:left="440"/>
      </w:pPr>
      <w:r>
        <w:t>前項の場合においては、道路管理者の権限は、政令の定めるところにより、道路管理者に代わつて国土交通大臣が行う。</w:t>
        <w:br/>
        <w:t>この場合において、道路法第百九条の規定の適用については、同条中「第二十七条」とあるのは、「道路の修繕に関する法律（昭和二十三年法律第二百八十二号）第二条第二項前段」と読み替えるものとする。</w:t>
      </w:r>
    </w:p>
    <w:p>
      <w:pPr>
        <w:pStyle w:val="Heading5"/>
        <w:ind w:left="440"/>
      </w:pPr>
      <w:r>
        <w:t>３</w:t>
      </w:r>
    </w:p>
    <w:p>
      <w:pPr>
        <w:ind w:left="440"/>
      </w:pPr>
      <w:r>
        <w:t>第一項の修繕に要する費用は、国の負担とする。</w:t>
      </w:r>
    </w:p>
    <w:p>
      <w:pPr>
        <w:pStyle w:val="Heading4"/>
      </w:pPr>
      <w:r>
        <w:t>第三条</w:t>
      </w:r>
    </w:p>
    <w:p>
      <w:r>
        <w:t>国は、当分の間、地方公共団体に対し、第一条第一項の規定により国がその費用について補助することができる道路の修繕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一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つた場合には、当該貸付けの対象である道路の修繕について、第一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w:t>
      </w:r>
    </w:p>
    <w:p>
      <w:r>
        <w:t>この法律は、公布の日から施行する。</w:t>
      </w:r>
    </w:p>
    <w:p>
      <w:r>
        <w:br w:type="page"/>
      </w:r>
    </w:p>
    <w:p>
      <w:pPr>
        <w:pStyle w:val="Heading1"/>
      </w:pPr>
      <w:r>
        <w:t>附則（昭和二七年六月一〇日法律第一八一号）</w:t>
      </w:r>
    </w:p>
    <w:p>
      <w:r>
        <w:t>この法律は、新法施行の日から施行する。</w:t>
      </w:r>
    </w:p>
    <w:p>
      <w:r>
        <w:br w:type="page"/>
      </w:r>
    </w:p>
    <w:p>
      <w:pPr>
        <w:pStyle w:val="Heading1"/>
      </w:pPr>
      <w:r>
        <w:t>附則（昭和三三年三月三一日法律第三六号）</w:t>
      </w:r>
    </w:p>
    <w:p>
      <w:pPr>
        <w:pStyle w:val="Heading4"/>
      </w:pPr>
      <w:r>
        <w:t>第一条（施行期日）</w:t>
      </w:r>
    </w:p>
    <w:p>
      <w:r>
        <w:t>この法律は、昭和三十三年四月一日から施行する。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次に掲げる法律の規定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次に掲げる法律の規定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ListBullet"/>
        <w:ind w:left="880"/>
      </w:pPr>
      <w:r>
        <w:t>三</w:t>
        <w:br/>
        <w:t>次に掲げる法律の規定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br/>
        <w:t>ただし、第一条（道路法第四十七条の七の改正規定を除く。）及び第二条（道路整備特別措置法第二十三条第三項の改正規定を除く。）の規定並びに附則第五条及び第六条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道路の修繕に関する法律</w:t>
      <w:br/>
      <w:tab/>
      <w:t>（昭和二十三年法律第二百八十二号）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道路の修繕に関する法律（昭和二十三年法律第二百八十二号）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