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道路交通に関する条約の実施に伴う道路運送車両法の特例等に関する法律施行令</w:t>
        <w:br/>
        <w:t>（昭和三十九年政令第二百九十号）</w:t>
      </w:r>
    </w:p>
    <w:p>
      <w:r>
        <w:t>道路交通に関する条約の実施に伴う道路運送車両法の特例等に関する法律（以下「法」という。）第五条第一項に規定する国土交通大臣の権限は、自動車の使用の本拠の位置を管轄する地方運輸局長に委任する。</w:t>
      </w:r>
    </w:p>
    <w:p>
      <w:pPr>
        <w:pStyle w:val="Heading5"/>
        <w:ind w:left="440"/>
      </w:pPr>
      <w:r>
        <w:t>２</w:t>
      </w:r>
    </w:p>
    <w:p>
      <w:pPr>
        <w:ind w:left="440"/>
      </w:pPr>
      <w:r>
        <w:t>法第五条に規定する地方運輸局長の権限及び前項の規定により地方運輸局長に委任された権限は、自動車又は原動機付自転車の使用の本拠の位置を管轄する運輸監理部長又は運輸支局長に委任する。</w:t>
      </w:r>
    </w:p>
    <w:p>
      <w:r>
        <w:br w:type="page"/>
      </w:r>
    </w:p>
    <w:p>
      <w:pPr>
        <w:pStyle w:val="Heading1"/>
      </w:pPr>
      <w:r>
        <w:t>附　則</w:t>
      </w:r>
    </w:p>
    <w:p>
      <w:r>
        <w:t>この政令は、道路交通に関する条約の実施に伴う道路運送車両法の特例等に関する法律の施行の日（昭和三十九年九月六日）から施行する。</w:t>
      </w:r>
    </w:p>
    <w:p>
      <w:r>
        <w:br w:type="page"/>
      </w:r>
    </w:p>
    <w:p>
      <w:pPr>
        <w:pStyle w:val="Heading1"/>
      </w:pPr>
      <w:r>
        <w:t>附　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道路交通に関する条約の実施に伴う道路運送車両法の特例等に関する法律施行令</w:t>
      <w:br/>
      <w:tab/>
      <w:t>（昭和三十九年政令第二百九十号）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道路交通に関する条約の実施に伴う道路運送車両法の特例等に関する法律施行令（昭和三十九年政令第二百九十号）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