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遺伝子組換え生物等の使用等の規制による生物の多様性の確保に関する法律に係る民間事業者等が行う書面の保存等における情報通信の技術の利用に関する法律施行規則</w:t>
        <w:br/>
        <w:t>（平成十七年財務省・厚生労働省・農林水産省・経済産業省・環境省令第三号）</w:t>
      </w:r>
    </w:p>
    <w:p>
      <w:pPr>
        <w:pStyle w:val="Heading4"/>
      </w:pPr>
      <w:r>
        <w:t>第一条（趣旨）</w:t>
      </w:r>
    </w:p>
    <w:p>
      <w:r>
        <w:t>民間事業者等が、遺伝子組換え生物等の使用等の規制による生物の多様性の確保に関する法律（平成十五年法律第九十七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法第三条第一項の主務省令で定める保存は、遺伝子組換え生物等の使用等の規制による生物の多様性の確保に関する法律第十九条第五項及び第七項の規定に基づく書面の保存とする。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法第四条第一項の主務省令で定める作成は、遺伝子組換え生物等の使用等の規制による生物の多様性の確保に関する法律第十九条第七項の規定に基づく書面の作成とする。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法第五条第一項の主務省令で定める縦覧等は、遺伝子組換え生物等の使用等の規制による生物の多様性の確保に関する法律第十九条第六項第一号の規定に基づく書面の縦覧等とする。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法第六条第一項の主務省令で定める交付等は、遺伝子組換え生物等の使用等の規制による生物の多様性の確保に関する法律第十九条第六項第二号の規定に基づく書面の交付等とする。</w:t>
      </w:r>
    </w:p>
    <w:p>
      <w:pPr>
        <w:pStyle w:val="Heading4"/>
      </w:pPr>
      <w:r>
        <w:t>第十条（電磁的記録による交付等）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磁気ディスク等をもって調整するファイルに書面に記載すべき事項を記録したものを交付する方法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第十一条（電磁的方法による承諾）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遺伝子組換え生物等の使用等の規制による生物の多様性の確保に関する法律に係る民間事業者等が行う書面の保存等における情報通信の技術の利用に関する法律施行規則</w:t>
      <w:br/>
      <w:tab/>
      <w:t>（平成十七年財務省・厚生労働省・農林水産省・経済産業省・環境省令第三号）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に係る民間事業者等が行う書面の保存等における情報通信の技術の利用に関する法律施行規則（平成十七年財務省・厚生労働省・農林水産省・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