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遺族国庫債券の担保権の設定に関する省令</w:t>
        <w:br/>
        <w:t>（昭和二十七年大蔵省令第七十四号）</w:t>
      </w:r>
    </w:p>
    <w:p>
      <w:r>
        <w:t>株式会社日本政策金融公庫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附則（平成一一年九月三〇日大蔵省令第八七号）</w:t>
      </w:r>
    </w:p>
    <w:p>
      <w:r>
        <w:t>この省令は、平成十一年十月一日から施行する。</w:t>
      </w:r>
    </w:p>
    <w:p>
      <w:r>
        <w:br w:type="page"/>
      </w:r>
    </w:p>
    <w:p>
      <w:pPr>
        <w:pStyle w:val="Heading1"/>
      </w:pPr>
      <w:r>
        <w:t>附則（平成二〇年九月三〇日財務省令第六一号）</w:t>
      </w:r>
    </w:p>
    <w:p>
      <w:pPr>
        <w:pStyle w:val="Heading4"/>
      </w:pPr>
      <w:r>
        <w:t>第一条（施行期日）</w:t>
      </w:r>
    </w:p>
    <w:p>
      <w:r>
        <w:t>この省令は、平成二十年十月一日から施行する。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遺族国庫債券の担保権の設定に関する省令</w:t>
      <w:br/>
      <w:tab/>
      <w:t>（昭和二十七年大蔵省令第七十四号）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遺族国庫債券の担保権の設定に関する省令（昭和二十七年大蔵省令第七十四号）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