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遺族国庫債券の発行交付等に関する省令</w:t>
        <w:br/>
        <w:t>（昭和二十七年大蔵省令第七十一号）</w:t>
      </w:r>
    </w:p>
    <w:p>
      <w:pPr>
        <w:pStyle w:val="Heading4"/>
      </w:pPr>
      <w:r>
        <w:t>第一条（遺族国庫債券）</w:t>
      </w:r>
    </w:p>
    <w:p>
      <w:r>
        <w:t>戦傷病者戦没者遺族等援護法（昭和二十七年法律第百二十七号。以下「法」という。）第三十七条第二項の規定により発行する国債は、遺族国庫債券とする。</w:t>
      </w:r>
    </w:p>
    <w:p>
      <w:pPr>
        <w:pStyle w:val="Heading4"/>
      </w:pPr>
      <w:r>
        <w:t>第二条（額面金額）</w:t>
      </w:r>
    </w:p>
    <w:p>
      <w:r>
        <w:t>遺族国庫債券の額面金額は、二万円、三万円及び五万円の三種とする。</w:t>
      </w:r>
    </w:p>
    <w:p>
      <w:pPr>
        <w:pStyle w:val="Heading4"/>
      </w:pPr>
      <w:r>
        <w:t>第三条（記名）</w:t>
      </w:r>
    </w:p>
    <w:p>
      <w:r>
        <w:t>遺族国庫債券には、その裏面に法第六条の規定により厚生労働大臣が弔慰金を受ける権利を有する者として裁定した者（第十二条の規定により相続に因る氏名の変更の請求があつた場合においては、当該相続人とする。以下「受取人」という。）の氏名を記載し、その利札及び賦札に「記名」の二字を表示する。</w:t>
      </w:r>
    </w:p>
    <w:p>
      <w:pPr>
        <w:pStyle w:val="Heading4"/>
      </w:pPr>
      <w:r>
        <w:t>第四条（変換の制限）</w:t>
      </w:r>
    </w:p>
    <w:p>
      <w:r>
        <w:t>遺族国庫債券については、その無記名国債証券又は登録国債への変換を請求することができない。</w:t>
      </w:r>
    </w:p>
    <w:p>
      <w:pPr>
        <w:pStyle w:val="Heading4"/>
      </w:pPr>
      <w:r>
        <w:t>第五条（元利金の支払）</w:t>
      </w:r>
    </w:p>
    <w:p>
      <w:r>
        <w:t>遺族国庫債券の元金は、発行の日からその日の属する年度（以下「発行年度」という。）の末日まですえ置き、その利子は、発行の日から付する。</w:t>
      </w:r>
    </w:p>
    <w:p>
      <w:pPr>
        <w:pStyle w:val="Heading5"/>
        <w:ind w:left="440"/>
      </w:pPr>
      <w:r>
        <w:t>２</w:t>
      </w:r>
    </w:p>
    <w:p>
      <w:pPr>
        <w:ind w:left="440"/>
      </w:pPr>
      <w:r>
        <w:t>遺族国庫債券の発行年度分の利子は、当該年度の末日において支払うものとする。</w:t>
        <w:br/>
        <w:t>但し、昭和二十八年三月三十一日において支払うべき利子は、請求があるときは、同日前においても支払う。</w:t>
      </w:r>
    </w:p>
    <w:p>
      <w:pPr>
        <w:pStyle w:val="Heading5"/>
        <w:ind w:left="440"/>
      </w:pPr>
      <w:r>
        <w:t>３</w:t>
      </w:r>
    </w:p>
    <w:p>
      <w:pPr>
        <w:ind w:left="440"/>
      </w:pPr>
      <w:r>
        <w:t>発行年度の翌年度以降においては、遺族国庫債券の元金及び利子は、発行年度の末日後八年六月間に、元利均等償還の方法により、毎年九月三十日において支払うものとする。</w:t>
      </w:r>
    </w:p>
    <w:p>
      <w:pPr>
        <w:pStyle w:val="Heading5"/>
        <w:ind w:left="440"/>
      </w:pPr>
      <w:r>
        <w:t>４</w:t>
      </w:r>
    </w:p>
    <w:p>
      <w:pPr>
        <w:ind w:left="440"/>
      </w:pPr>
      <w:r>
        <w:t>前二項に規定する支払期日が土曜日、日曜日又は国民の祝日に関する法律（昭和二十三年法律第百七十八号）に規定する休日に当たるときは、これらの日の翌日を当該支払期日とみなす。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第六条（支払の手続）</w:t>
      </w:r>
    </w:p>
    <w:p>
      <w:r>
        <w:t>遺族国庫債券の元金及び利子は、第十一条の規定により元利金支払場所として指定した日本銀行の本店、支店、代理店又は国債代理店において、支払を請求する者が受取人本人であることを示す書類の呈示を求めた上、利札又は賦札と引換に支払うものとする。</w:t>
      </w:r>
    </w:p>
    <w:p>
      <w:pPr>
        <w:pStyle w:val="Heading5"/>
        <w:ind w:left="440"/>
      </w:pPr>
      <w:r>
        <w:t>２</w:t>
      </w:r>
    </w:p>
    <w:p>
      <w:pPr>
        <w:ind w:left="440"/>
      </w:pPr>
      <w:r>
        <w:t>前項の場合において、受取人以外の者で当該遺族国庫債券の元金及び利子の受領につき正当に権利を行使することのできるものが支払を請求したときは、その者が正当に権利を行使する者であることを証明する書類を提出させ、支払を請求する者がその者本人であることを示す書類の呈示を求めた上、利札又は賦札と引換に支払うものとする。</w:t>
      </w:r>
    </w:p>
    <w:p>
      <w:pPr>
        <w:pStyle w:val="Heading5"/>
        <w:ind w:left="440"/>
      </w:pPr>
      <w:r>
        <w:t>３</w:t>
      </w:r>
    </w:p>
    <w:p>
      <w:pPr>
        <w:ind w:left="440"/>
      </w:pPr>
      <w:r>
        <w:t>日本銀行の本店、支店、代理店又は国債代理店は、前二項の規定により遺族国庫債券の元金及び利子の支払をしようとする場合において、その支払を受けようとする者が当該遺族国庫債券の元金及び利子の受領につき正当に権利を行使することのできる者であるかどうかを調査することを必要と認めたときは、その者に対し証明又は説明を求めた上支払うものとする。</w:t>
      </w:r>
    </w:p>
    <w:p>
      <w:pPr>
        <w:pStyle w:val="Heading4"/>
      </w:pPr>
      <w:r>
        <w:t>第七条（交付価格）</w:t>
      </w:r>
    </w:p>
    <w:p>
      <w:r>
        <w:t>遺族国庫債券の交付価格は、額面金額百円について百円とする。</w:t>
      </w:r>
    </w:p>
    <w:p>
      <w:pPr>
        <w:pStyle w:val="Heading4"/>
      </w:pPr>
      <w:r>
        <w:t>第八条</w:t>
      </w:r>
    </w:p>
    <w:p>
      <w:r>
        <w:t>削除</w:t>
      </w:r>
    </w:p>
    <w:p>
      <w:pPr>
        <w:pStyle w:val="Heading4"/>
      </w:pPr>
      <w:r>
        <w:t>第九条（交付の通知）</w:t>
      </w:r>
    </w:p>
    <w:p>
      <w:r>
        <w:t>財務大臣は、厚生労働大臣から遺族国庫債券の発行の請求を受けたときは、遺族国庫債券の受領につき正当に権利を行使することのできる者の住所地を管轄する財務局長（当該住所地の存する府県の区域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当該住所地が外国であるときは関東財務局長とする。）をして、別紙第３号書式による交付通知書をその者に交付させるものとする。</w:t>
      </w:r>
    </w:p>
    <w:p>
      <w:pPr>
        <w:pStyle w:val="Heading4"/>
      </w:pPr>
      <w:r>
        <w:t>第十条（交付の手続）</w:t>
      </w:r>
    </w:p>
    <w:p>
      <w:r>
        <w:t>遺族国庫債券は、前条の規定による交付通知書に指定された日本銀行の本店、支店又は代理店において、戦傷病者戦没者遺族等援護法施行規則（昭和二十七年厚生省令第十六号）第三十七条第二項の規定による弔慰金裁定通知書及び交付を請求する者が受取人本人であることを示す書類の呈示を求めた上、領収証欄に住所及び氏名の記入された当該交付通知書と引換に交付するものとする。</w:t>
      </w:r>
    </w:p>
    <w:p>
      <w:pPr>
        <w:pStyle w:val="Heading5"/>
        <w:ind w:left="440"/>
      </w:pPr>
      <w:r>
        <w:t>２</w:t>
      </w:r>
    </w:p>
    <w:p>
      <w:pPr>
        <w:ind w:left="440"/>
      </w:pPr>
      <w:r>
        <w:t>前項の場合において、受取人以外の者で当該遺族国庫債券の受領につき正当に権利を行使することのできるものが交付を請求したときは、その者が正当に権利を行使する者であることを証明する書類を提出させ、弔慰金裁定通知書及び交付を請求する者がその者本人であることを示す書類の呈示を求めた上、領収証欄にその者の住所及び氏名の記入された交付通知書と引換に交付するものとする。</w:t>
      </w:r>
    </w:p>
    <w:p>
      <w:pPr>
        <w:pStyle w:val="Heading4"/>
      </w:pPr>
      <w:r>
        <w:t>第十一条（氏名及び住所並びに元利金支払場所の届出）</w:t>
      </w:r>
    </w:p>
    <w:p>
      <w:r>
        <w:t>法第三十四条の規定による弔慰金を請求しようとする者は、遺族国庫債券並びにその元金及び利子の受領の際照合の用に供するための氏名及び住所並びに当該遺族国庫債券の元利金支払場所として指定した日本銀行の本店、支店、代理店又は国債代理店（以下「指定日本銀行等」という。）を届け出なければならない。</w:t>
      </w:r>
    </w:p>
    <w:p>
      <w:pPr>
        <w:pStyle w:val="Heading5"/>
        <w:ind w:left="440"/>
      </w:pPr>
      <w:r>
        <w:t>２</w:t>
      </w:r>
    </w:p>
    <w:p>
      <w:pPr>
        <w:ind w:left="440"/>
      </w:pPr>
      <w:r>
        <w:t>前項の届出は、戦傷病者戦没者遺族等援護法施行規則第三十六条の二に規定する弔慰金請求書を提出する際これに添えて、別紙第４号書式による氏名等届出書により行うものとする。</w:t>
      </w:r>
    </w:p>
    <w:p>
      <w:pPr>
        <w:pStyle w:val="Heading5"/>
        <w:ind w:left="440"/>
      </w:pPr>
      <w:r>
        <w:t>３</w:t>
      </w:r>
    </w:p>
    <w:p>
      <w:pPr>
        <w:ind w:left="440"/>
      </w:pPr>
      <w:r>
        <w:t>第一項の規定により届け出た住所を変更しようとするときは、別紙第５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元利金支払場所を変更しようとするときは、別紙第６号書式による元利金支払場所変更請求書に当該遺族国庫債券を添えて、変更を請求する者が受取人本人であることを示す書類を呈示の上、指定日本銀行等又は新たに元利金支払場所として指定しようとする日本銀行の本店、支店、代理店又は国債代理店に提出しなければならない。</w:t>
      </w:r>
    </w:p>
    <w:p>
      <w:pPr>
        <w:pStyle w:val="Heading4"/>
      </w:pPr>
      <w:r>
        <w:t>第十二条（記名の変更）</w:t>
      </w:r>
    </w:p>
    <w:p>
      <w:r>
        <w:t>遺族国庫債券の受取人の死亡又は氏名の変更により遺族国庫債券に記載された氏名を変更しようとするときは、その相続人又は受取人は、別紙第７号書式による記名変更請求書に戸籍謄本、戸籍抄本又は相続その他の事実を証明する書類及び当該遺族国庫債券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この省令は、公布の日から施行し、昭和二十七年四月一日から適用する。</w:t>
      </w:r>
    </w:p>
    <w:p>
      <w:r>
        <w:br w:type="page"/>
      </w:r>
    </w:p>
    <w:p>
      <w:pPr>
        <w:pStyle w:val="Heading1"/>
      </w:pPr>
      <w:r>
        <w:t>附則（昭和三二年六月一二日大蔵省令第四九号）</w:t>
      </w:r>
    </w:p>
    <w:p>
      <w:pPr>
        <w:pStyle w:val="Heading5"/>
        <w:ind w:left="440"/>
      </w:pPr>
      <w:r>
        <w:t>１</w:t>
      </w:r>
    </w:p>
    <w:p>
      <w:pPr>
        <w:ind w:left="440"/>
      </w:pPr>
      <w:r>
        <w:t>この省令は、公布の日から施行する。</w:t>
      </w:r>
    </w:p>
    <w:p>
      <w:r>
        <w:br w:type="page"/>
      </w:r>
    </w:p>
    <w:p>
      <w:pPr>
        <w:pStyle w:val="Heading1"/>
      </w:pPr>
      <w:r>
        <w:t>附則（昭和三八年九月一三日大蔵省令第五〇号）</w:t>
      </w:r>
    </w:p>
    <w:p>
      <w:pPr>
        <w:pStyle w:val="Heading5"/>
        <w:ind w:left="440"/>
      </w:pPr>
      <w:r>
        <w:t>１</w:t>
      </w:r>
    </w:p>
    <w:p>
      <w:pPr>
        <w:ind w:left="440"/>
      </w:pPr>
      <w:r>
        <w:t>この省令は、昭和三十八年十月一日から施行する。</w:t>
      </w:r>
    </w:p>
    <w:p>
      <w:r>
        <w:br w:type="page"/>
      </w:r>
    </w:p>
    <w:p>
      <w:pPr>
        <w:pStyle w:val="Heading1"/>
      </w:pPr>
      <w:r>
        <w:t>附則（昭和四〇年七月一日大蔵省令第四六号）</w:t>
      </w:r>
    </w:p>
    <w:p>
      <w:pPr>
        <w:pStyle w:val="Heading5"/>
        <w:ind w:left="440"/>
      </w:pPr>
      <w:r>
        <w:t>１</w:t>
      </w:r>
    </w:p>
    <w:p>
      <w:pPr>
        <w:ind w:left="440"/>
      </w:pPr>
      <w:r>
        <w:t>この省令は、昭和四十年八月二十日から施行する。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附則（昭和六二年三月三一日大蔵省令第一五号）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附則（平成一七年三月三〇日財務省令第二〇号）</w:t>
      </w:r>
    </w:p>
    <w:p>
      <w:r>
        <w:t>この省令は、平成十七年四月一日から施行する。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一</w:t>
        <w:br/>
        <w:t>遺族国庫債券の発行交付等に関する省令第一条の遺族国庫債券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遺族国庫債券の発行交付等に関する省令</w:t>
      <w:br/>
      <w:tab/>
      <w:t>（昭和二十七年大蔵省令第七十一号）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遺族国庫債券の発行交付等に関する省令（昭和二十七年大蔵省令第七十一号）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