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郵便切手類模造等取締法</w:t>
        <w:br/>
        <w:t>（昭和四十七年法律第五十号）</w:t>
      </w:r>
    </w:p>
    <w:p>
      <w:pPr>
        <w:pStyle w:val="Heading4"/>
      </w:pPr>
      <w:r>
        <w:t>第一条</w:t>
      </w:r>
    </w:p>
    <w:p>
      <w:r>
        <w:t>日本郵便株式会社又は外国の郵便切手その他郵便に関する料金を表す証票に紛らわしい外観を有する物は、製造し、輸入し、販売し、若しくは頒布し、又は郵便切手その他郵便に関する料金を表す証票の用途に使用してはならない。</w:t>
      </w:r>
    </w:p>
    <w:p>
      <w:pPr>
        <w:pStyle w:val="Heading5"/>
        <w:ind w:left="440"/>
      </w:pPr>
      <w:r>
        <w:t>２</w:t>
      </w:r>
    </w:p>
    <w:p>
      <w:pPr>
        <w:ind w:left="440"/>
      </w:pPr>
      <w:r>
        <w:t>前項の規定は、同項に規定する物で総務大臣の許可を受けたものを製造し、輸入し、販売し、又は頒布する場合には、適用しない。</w:t>
      </w:r>
    </w:p>
    <w:p>
      <w:pPr>
        <w:pStyle w:val="Heading4"/>
      </w:pPr>
      <w:r>
        <w:t>第二条</w:t>
      </w:r>
    </w:p>
    <w:p>
      <w:r>
        <w:t>前条第一項の規定に違反した者は、一年以下の懲役又は五万円以下の罰金に処する。</w:t>
      </w:r>
    </w:p>
    <w:p>
      <w:r>
        <w:br w:type="page"/>
      </w:r>
    </w:p>
    <w:p>
      <w:pPr>
        <w:pStyle w:val="Heading1"/>
      </w:pPr>
      <w:r>
        <w:t>附　則</w:t>
      </w:r>
    </w:p>
    <w:p>
      <w:r>
        <w:t>この法律は、公布の日から起算して六月を経過した日から施行する。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　第七章　郵便局株式会社」を「第六章　削除　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郵便切手類模造等取締法</w:t>
      <w:br/>
      <w:tab/>
      <w:t>（昭和四十七年法律第五十号）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郵便切手類模造等取締法（昭和四十七年法律第五十号）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