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郵便法第七十三条の審議会等を定める政令</w:t>
        <w:br/>
        <w:t>（平成十五年政令第八十三号）</w:t>
      </w:r>
    </w:p>
    <w:p>
      <w:r>
        <w:t>郵便法第七十三条の審議会等で政令で定めるものは、情報通信行政・郵政行政審議会とする。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この政令は、平成十五年四月一日から施行する。</w:t>
      </w:r>
    </w:p>
    <w:p>
      <w:r>
        <w:br w:type="page"/>
      </w:r>
    </w:p>
    <w:p>
      <w:pPr>
        <w:pStyle w:val="Heading1"/>
      </w:pPr>
      <w:r>
        <w:t>附　則（平成一九年八月三日政令第二三五号）</w:t>
      </w:r>
    </w:p>
    <w:p>
      <w:pPr>
        <w:pStyle w:val="Heading4"/>
      </w:pPr>
      <w:r>
        <w:t>第一条（施行期日）</w:t>
      </w:r>
    </w:p>
    <w:p>
      <w:r>
        <w:t>この政令は、平成十九年十月一日から施行する。</w:t>
      </w:r>
    </w:p>
    <w:p>
      <w:r>
        <w:br w:type="page"/>
      </w:r>
    </w:p>
    <w:p>
      <w:pPr>
        <w:pStyle w:val="Heading1"/>
      </w:pPr>
      <w:r>
        <w:t>附　則（平成二〇年七月二日政令第二一四号）</w:t>
      </w:r>
    </w:p>
    <w:p>
      <w:pPr>
        <w:pStyle w:val="Heading4"/>
      </w:pPr>
      <w:r>
        <w:t>第一条（施行期日）</w:t>
      </w:r>
    </w:p>
    <w:p>
      <w:r>
        <w:t>この政令は、平成二十年七月四日から施行する。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郵便法第七十三条の審議会等を定める政令</w:t>
      <w:br/>
      <w:tab/>
      <w:t>（平成十五年政令第八十三号）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郵便法第七十三条の審議会等を定める政令（平成十五年政令第八十三号）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