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郵政民営化委員会令</w:t>
        <w:br/>
        <w:t>（平成十八年政令第百四十三号）</w:t>
      </w:r>
    </w:p>
    <w:p>
      <w:pPr>
        <w:pStyle w:val="Heading4"/>
      </w:pPr>
      <w:r>
        <w:t>第一条（議事）</w:t>
      </w:r>
    </w:p>
    <w:p>
      <w:r>
        <w:t>郵政民営化委員会（以下「委員会」という。）は、委員の過半数が出席しなければ、会議を開き、議決することができない。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委員会の議事は、委員で会議に出席したものの過半数で決し、可否同数のときは、委員長の決するところによる。</w:t>
      </w:r>
    </w:p>
    <w:p>
      <w:pPr>
        <w:pStyle w:val="Heading4"/>
      </w:pPr>
      <w:r>
        <w:t>第二条（事務局長）</w:t>
      </w:r>
    </w:p>
    <w:p>
      <w:r>
        <w:t>委員会の事務局長は、関係のある他の職を占める者をもって充てられるものとする。</w:t>
      </w:r>
    </w:p>
    <w:p>
      <w:pPr>
        <w:pStyle w:val="Heading4"/>
      </w:pPr>
      <w:r>
        <w:t>第三条（事務局次長）</w:t>
      </w:r>
    </w:p>
    <w:p>
      <w:r>
        <w:t>委員会の事務局に、事務局次長二人（関係のある他の職を占める者をもって充てられるものとする。）を置く。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事務局次長は、事務局長を助け、局務を整理する。</w:t>
      </w:r>
    </w:p>
    <w:p>
      <w:pPr>
        <w:pStyle w:val="Heading4"/>
      </w:pPr>
      <w:r>
        <w:t>第四条（参事官）</w:t>
      </w:r>
    </w:p>
    <w:p>
      <w:r>
        <w:t>委員会の事務局に、参事官四人（関係のある他の職を占める者をもって充てられるものとする。）を置く。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参事官は、命を受けて、局務を分掌し、又は局務に関する重要事項の調査審議に参画する。</w:t>
      </w:r>
    </w:p>
    <w:p>
      <w:pPr>
        <w:pStyle w:val="Heading4"/>
      </w:pPr>
      <w:r>
        <w:t>第五条（事務局の内部組織の細目）</w:t>
      </w:r>
    </w:p>
    <w:p>
      <w:r>
        <w:t>前三条に定めるもののほか、委員会の事務局の内部組織の細目は、内閣総理大臣が定める。</w:t>
      </w:r>
    </w:p>
    <w:p>
      <w:pPr>
        <w:pStyle w:val="Heading4"/>
      </w:pPr>
      <w:r>
        <w:t>第六条（委員会の運営）</w:t>
      </w:r>
    </w:p>
    <w:p>
      <w:r>
        <w:t>この政令に定めるもののほか、議事の手続その他委員会の運営に関し必要な事項は、委員長が委員会に諮って定める。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この政令は、平成十八年四月一日から施行する。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郵政民営化委員会令</w:t>
      <w:br/>
      <w:tab/>
      <w:t>（平成十八年政令第百四十三号）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郵政民営化委員会令（平成十八年政令第百四十三号）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