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野菜栽培用の豆の証明書の発給に関する省令</w:t>
        <w:br/>
        <w:t>（平成七年農林水産省令第十四号）</w:t>
      </w:r>
    </w:p>
    <w:p>
      <w:pPr>
        <w:pStyle w:val="Heading4"/>
      </w:pPr>
      <w:r>
        <w:t>第一条（証明書の交付申請）</w:t>
      </w:r>
    </w:p>
    <w:p>
      <w:r>
        <w:t>関税定率法施行令第六十七条第一項の証明書の交付を受けようとする者は、別記様式による証明書交付申請書二通を農林水産大臣に提出しなければならない。</w:t>
      </w:r>
    </w:p>
    <w:p>
      <w:pPr>
        <w:pStyle w:val="Heading4"/>
      </w:pPr>
      <w:r>
        <w:t>第二条（証明書の発給）</w:t>
      </w:r>
    </w:p>
    <w:p>
      <w:r>
        <w:t>農林水産大臣は、前条の規定による申請を受けた場合において、証明書を発給することを適当と認めるときは、当該申請に係る前条の申請書二通のうち一通に、証明書を発給する旨を記入し、これを前条の証明書として当該申請をした者に交付するものとする。</w:t>
      </w:r>
    </w:p>
    <w:p>
      <w:pPr>
        <w:pStyle w:val="Heading5"/>
        <w:ind w:left="440"/>
      </w:pPr>
      <w:r>
        <w:t>２</w:t>
      </w:r>
    </w:p>
    <w:p>
      <w:pPr>
        <w:ind w:left="440"/>
      </w:pPr>
      <w:r>
        <w:t>農林水産大臣は、前条の規定による申請を受けた場合において、証明書を発給することを不適当と認めるときは、遅滞なく、その旨を当該申請をした者に通知するものとする。</w:t>
      </w:r>
    </w:p>
    <w:p>
      <w:pPr>
        <w:pStyle w:val="Heading5"/>
        <w:ind w:left="440"/>
      </w:pPr>
      <w:r>
        <w:t>３</w:t>
      </w:r>
    </w:p>
    <w:p>
      <w:pPr>
        <w:ind w:left="440"/>
      </w:pPr>
      <w:r>
        <w:t>農林水産大臣は、前条の規定による申請をした者に対し必要な書類の提出を求め、又はその者から必要な事項について説明を求めることがある。</w:t>
      </w:r>
    </w:p>
    <w:p>
      <w:pPr>
        <w:pStyle w:val="Heading5"/>
        <w:ind w:left="440"/>
      </w:pPr>
      <w:r>
        <w:t>４</w:t>
      </w:r>
    </w:p>
    <w:p>
      <w:pPr>
        <w:ind w:left="440"/>
      </w:pPr>
      <w:r>
        <w:t>第一項の規定による証明書の交付は、当該申請を農林水産大臣が受理した日から起算して十日を経過した日までにするものとする。</w:t>
      </w:r>
    </w:p>
    <w:p>
      <w:r>
        <w:br w:type="page"/>
      </w:r>
    </w:p>
    <w:p>
      <w:pPr>
        <w:pStyle w:val="Heading1"/>
      </w:pPr>
      <w:r>
        <w:t>附　則</w:t>
      </w:r>
    </w:p>
    <w:p>
      <w:pPr>
        <w:pStyle w:val="Heading5"/>
        <w:ind w:left="440"/>
      </w:pPr>
      <w:r>
        <w:t>１</w:t>
      </w:r>
    </w:p>
    <w:p>
      <w:pPr>
        <w:ind w:left="440"/>
      </w:pPr>
      <w:r>
        <w:t>この省令は、関税定率法等の一部を改正する法律の施行に伴う関係政令の整備に関する政令（平成六年政令第四百十四号）の施行の日（平成七年四月一日）から施行する。</w:t>
      </w:r>
    </w:p>
    <w:p>
      <w:pPr>
        <w:pStyle w:val="Heading5"/>
        <w:ind w:left="440"/>
      </w:pPr>
      <w:r>
        <w:t>２</w:t>
      </w:r>
    </w:p>
    <w:p>
      <w:pPr>
        <w:ind w:left="440"/>
      </w:pPr>
      <w:r>
        <w:t>この省令の施行前にした輸入割当てを受けるべき貨物の品目、輸入についての許可を受けるべき貨物の原産地または船積地域その他貨物の輸入について必要な事項の公表（昭和四十一年通商産業省告示第百七十号）の三の７の規定による確認申請書の提出は、この省令の第一条の規定による証明書交付申請書の提出とみなす。</w:t>
      </w:r>
    </w:p>
    <w:p>
      <w:r>
        <w:br w:type="page"/>
      </w:r>
    </w:p>
    <w:p>
      <w:pPr>
        <w:pStyle w:val="Heading1"/>
      </w:pPr>
      <w:r>
        <w:t>附則（平成一一年一月一一日農林水産省令第一号）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野菜栽培用の豆の証明書の発給に関する省令</w:t>
      <w:br/>
      <w:tab/>
      <w:t>（平成七年農林水産省令第十四号）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野菜栽培用の豆の証明書の発給に関する省令（平成七年農林水産省令第十四号）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