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金融審議会令</w:t>
        <w:br/>
        <w:t>（平成十二年政令第二百六十三号）</w:t>
      </w:r>
    </w:p>
    <w:p>
      <w:pPr>
        <w:pStyle w:val="Heading4"/>
      </w:pPr>
      <w:r>
        <w:t>第一条（組織）</w:t>
      </w:r>
    </w:p>
    <w:p>
      <w:r>
        <w:t>金融審議会（以下「審議会」という。）は、委員三十人以内で組織する。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前項の表の上欄に掲げる分科会に属すべき委員、臨時委員及び専門委員は、内閣総理大臣が指名する。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審議会又は分科会は、その定めるところにより、部会を置くことができる。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部会に属すべき委員、臨時委員及び専門委員は、会長（分科会に置かれる部会にあっては、分科会長。次項において同じ。）が指名する。</w:t>
      </w:r>
    </w:p>
    <w:p>
      <w:pPr>
        <w:pStyle w:val="Heading5"/>
        <w:ind w:left="440"/>
      </w:pPr>
      <w:r>
        <w:t>３</w:t>
      </w:r>
    </w:p>
    <w:p>
      <w:pPr>
        <w:ind w:left="440"/>
      </w:pPr>
      <w:r>
        <w:t>部会に、部会長を置き、当該部会に属する委員のうちから会長が指名する。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第七条（幹事）</w:t>
      </w:r>
    </w:p>
    <w:p>
      <w:r>
        <w:t>審議会に、幹事を置く。</w:t>
      </w:r>
    </w:p>
    <w:p>
      <w:pPr>
        <w:pStyle w:val="Heading5"/>
        <w:ind w:left="440"/>
      </w:pPr>
      <w:r>
        <w:t>２</w:t>
      </w:r>
    </w:p>
    <w:p>
      <w:pPr>
        <w:ind w:left="440"/>
      </w:pPr>
      <w:r>
        <w:t>幹事は、関係行政機関の職員及び学識経験のある者のうちから、内閣総理大臣が任命する。</w:t>
      </w:r>
    </w:p>
    <w:p>
      <w:pPr>
        <w:pStyle w:val="Heading5"/>
        <w:ind w:left="440"/>
      </w:pPr>
      <w:r>
        <w:t>３</w:t>
      </w:r>
    </w:p>
    <w:p>
      <w:pPr>
        <w:ind w:left="440"/>
      </w:pPr>
      <w:r>
        <w:t>幹事は、審議会の所掌事務について、委員、臨時委員及び専門委員を補佐する。</w:t>
      </w:r>
    </w:p>
    <w:p>
      <w:pPr>
        <w:pStyle w:val="Heading5"/>
        <w:ind w:left="440"/>
      </w:pPr>
      <w:r>
        <w:t>４</w:t>
      </w:r>
    </w:p>
    <w:p>
      <w:pPr>
        <w:ind w:left="440"/>
      </w:pPr>
      <w:r>
        <w:t>幹事は、非常勤とする。</w:t>
      </w:r>
    </w:p>
    <w:p>
      <w:pPr>
        <w:pStyle w:val="Heading4"/>
      </w:pPr>
      <w:r>
        <w:t>第八条（議事）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前二項の規定は、分科会及び部会の議事について準用する。</w:t>
      </w:r>
    </w:p>
    <w:p>
      <w:pPr>
        <w:pStyle w:val="Heading4"/>
      </w:pPr>
      <w:r>
        <w:t>第九条（資料の提出等の要求）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第十条（庶務）</w:t>
      </w:r>
    </w:p>
    <w:p>
      <w:r>
        <w:t>審議会の庶務は、金融庁企画市場局総務課において財務省大臣官房信用機構課の協力を得て総括し、及び処理する。</w:t>
      </w:r>
    </w:p>
    <w:p>
      <w:pPr>
        <w:pStyle w:val="Heading4"/>
      </w:pPr>
      <w:r>
        <w:t>第十一条（雑則）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　則（平成三〇年七月一三日政令第二〇八号）</w:t>
      </w:r>
    </w:p>
    <w:p>
      <w:pPr>
        <w:pStyle w:val="Heading4"/>
      </w:pPr>
      <w:r>
        <w:t>第一条（施行期日）</w:t>
      </w:r>
    </w:p>
    <w:p>
      <w:r>
        <w:t>この政令は、平成三十年七月十七日から施行する。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金融審議会令</w:t>
      <w:br/>
      <w:tab/>
      <w:t>（平成十二年政令第二百六十三号）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金融審議会令（平成十二年政令第二百六十三号）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