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金融機能強化審査会令</w:t>
        <w:br/>
        <w:t>（平成十六年政令第二百四十一号）</w:t>
      </w:r>
    </w:p>
    <w:p>
      <w:pPr>
        <w:pStyle w:val="Heading4"/>
      </w:pPr>
      <w:r>
        <w:t>第一条（議事）</w:t>
      </w:r>
    </w:p>
    <w:p>
      <w:r>
        <w:t>金融機能強化審査会は、委員の過半数が出席しなければ、会議を開き、議決することができない。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金融機能強化審査会の議事は、委員で会議に出席したものの過半数で決し、可否同数のときは、会長の決するところによる。</w:t>
      </w:r>
    </w:p>
    <w:p>
      <w:pPr>
        <w:pStyle w:val="Heading4"/>
      </w:pPr>
      <w:r>
        <w:t>第二条（庶務）</w:t>
      </w:r>
    </w:p>
    <w:p>
      <w:r>
        <w:t>金融機能強化審査会の庶務は、金融庁監督局総務課において処理する。</w:t>
      </w:r>
    </w:p>
    <w:p>
      <w:pPr>
        <w:pStyle w:val="Heading4"/>
      </w:pPr>
      <w:r>
        <w:t>第三条（雑則）</w:t>
      </w:r>
    </w:p>
    <w:p>
      <w:r>
        <w:t>この政令に定めるもののほか、議事の手続その他金融機能強化審査会の運営に関し必要な事項は、会長が金融機能強化審査会に諮って定める。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この政令は、金融機能の強化のための特別措置に関する法律の施行の日（平成十六年八月一日）から施行する。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金融機能強化審査会令</w:t>
      <w:br/>
      <w:tab/>
      <w:t>（平成十六年政令第二百四十一号）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金融機能強化審査会令（平成十六年政令第二百四十一号）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