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鉄道軌道整備法施行令</w:t>
        <w:br/>
        <w:t>（昭和三十三年政令第二百五十六号）</w:t>
      </w:r>
    </w:p>
    <w:p>
      <w:pPr>
        <w:pStyle w:val="Heading4"/>
      </w:pPr>
      <w:r>
        <w:t>第一条（災害復旧事業）</w:t>
      </w:r>
    </w:p>
    <w:p>
      <w:r>
        <w:t>鉄道軌道整備法（以下「法」という。）第八条第四項又は第五項の規定によりその経費を補助することができる災害復旧事業は、災害を受けた鉄道の施設を原形に復旧すること（原形に復旧することが不可能な場合において当該施設の従前の効用を復旧するための施設をすることを含む。）を目的とする事業及び災害を受けた鉄道の施設を原形に復旧することが著しく困難又は不適当な場合においてこれに代わるべき必要な施設をすることを目的とする事業であつて、次に掲げるもの以外のものとする。</w:t>
      </w:r>
    </w:p>
    <w:p>
      <w:pPr>
        <w:pStyle w:val="ListBullet"/>
        <w:ind w:left="880"/>
      </w:pPr>
      <w:r>
        <w:t>一</w:t>
        <w:br/>
        <w:t>工事に要する費用に比してその効果が著しく小さいもの</w:t>
      </w:r>
    </w:p>
    <w:p>
      <w:pPr>
        <w:pStyle w:val="ListBullet"/>
        <w:ind w:left="880"/>
      </w:pPr>
      <w:r>
        <w:t>二</w:t>
        <w:br/>
        <w:t>維持工事とみるべきもの</w:t>
      </w:r>
    </w:p>
    <w:p>
      <w:pPr>
        <w:pStyle w:val="ListBullet"/>
        <w:ind w:left="880"/>
      </w:pPr>
      <w:r>
        <w:t>三</w:t>
        <w:br/>
        <w:t>設計の不備又は工事施行の粗漏によつて生じたものと認められる災害に係るもの</w:t>
      </w:r>
    </w:p>
    <w:p>
      <w:pPr>
        <w:pStyle w:val="ListBullet"/>
        <w:ind w:left="880"/>
      </w:pPr>
      <w:r>
        <w:t>四</w:t>
        <w:br/>
        <w:t>維持管理の方法が適当でなかつたことによつて生じたものと認められる災害に係るもの</w:t>
      </w:r>
    </w:p>
    <w:p>
      <w:pPr>
        <w:pStyle w:val="Heading5"/>
        <w:ind w:left="440"/>
      </w:pPr>
      <w:r>
        <w:t>２</w:t>
      </w:r>
    </w:p>
    <w:p>
      <w:pPr>
        <w:ind w:left="440"/>
      </w:pPr>
      <w:r>
        <w:t>前項の鉄道の施設の範囲は、次のとおりとする。</w:t>
      </w:r>
    </w:p>
    <w:p>
      <w:pPr>
        <w:pStyle w:val="ListBullet"/>
        <w:ind w:left="880"/>
      </w:pPr>
      <w:r>
        <w:t>一</w:t>
        <w:br/>
        <w:t>次に掲げる線路施設</w:t>
      </w:r>
    </w:p>
    <w:p>
      <w:pPr>
        <w:pStyle w:val="ListBullet"/>
        <w:ind w:left="880"/>
      </w:pPr>
      <w:r>
        <w:t>二</w:t>
        <w:br/>
        <w:t>次に掲げる停車場施設</w:t>
      </w:r>
    </w:p>
    <w:p>
      <w:pPr>
        <w:pStyle w:val="ListBullet"/>
        <w:ind w:left="880"/>
      </w:pPr>
      <w:r>
        <w:t>三</w:t>
        <w:br/>
        <w:t>次に掲げる運転保安施設</w:t>
      </w:r>
    </w:p>
    <w:p>
      <w:pPr>
        <w:pStyle w:val="ListBullet"/>
        <w:ind w:left="880"/>
      </w:pPr>
      <w:r>
        <w:t>四</w:t>
        <w:br/>
        <w:t>次に掲げる電気施設</w:t>
      </w:r>
    </w:p>
    <w:p>
      <w:pPr>
        <w:pStyle w:val="ListBullet"/>
        <w:ind w:left="880"/>
      </w:pPr>
      <w:r>
        <w:t>ロ</w:t>
        <w:br/>
        <w:t>饋き</w:t>
        <w:br/>
        <w:t>電線路</w:t>
      </w:r>
    </w:p>
    <w:p>
      <w:pPr>
        <w:pStyle w:val="ListBullet"/>
        <w:ind w:left="880"/>
      </w:pPr>
      <w:r>
        <w:t>五</w:t>
        <w:br/>
        <w:t>通信施設</w:t>
      </w:r>
    </w:p>
    <w:p>
      <w:pPr>
        <w:pStyle w:val="ListBullet"/>
        <w:ind w:left="880"/>
      </w:pPr>
      <w:r>
        <w:t>六</w:t>
        <w:br/>
        <w:t>鉄道車両</w:t>
      </w:r>
    </w:p>
    <w:p>
      <w:pPr>
        <w:pStyle w:val="Heading4"/>
      </w:pPr>
      <w:r>
        <w:t>第二条（災害復旧事業費の補助）</w:t>
      </w:r>
    </w:p>
    <w:p>
      <w:r>
        <w:t>法第八条第四項又は第五項の規定による補助は、災害復旧事業に係る工事のため直接必要な本工事費及び附帯工事費についてするものとし、その補助率は、四分の一（災害を受けた鉄道の存する地域の交通手段の状況、当該鉄道に係る鉄道事業の事業構造の変更による経営の改善の見通しその他の事情を勘案して特に必要があると国土交通大臣が認める場合は、三分の一）以内において国土交通大臣が財務大臣と協議して定める率とする。</w:t>
      </w:r>
    </w:p>
    <w:p>
      <w:pPr>
        <w:pStyle w:val="Heading5"/>
        <w:ind w:left="440"/>
      </w:pPr>
      <w:r>
        <w:t>２</w:t>
      </w:r>
    </w:p>
    <w:p>
      <w:pPr>
        <w:ind w:left="440"/>
      </w:pPr>
      <w:r>
        <w:t>前項の本工事費及び附帯工事費には、購入その他これに準ずる方法のみによつて災害復旧事業を行う場合における購入費その他これに準ずる費用、応急工事が復旧工事の一部となる場合における当該応急工事に要した費用及び復旧工事に必要な仮設工事に要する費用を含むものとする。</w:t>
      </w:r>
    </w:p>
    <w:p>
      <w:pPr>
        <w:pStyle w:val="Heading5"/>
        <w:ind w:left="440"/>
      </w:pPr>
      <w:r>
        <w:t>３</w:t>
      </w:r>
    </w:p>
    <w:p>
      <w:pPr>
        <w:ind w:left="440"/>
      </w:pPr>
      <w:r>
        <w:t>法第八条第五項第三号の政令で定める数は、一とする。</w:t>
      </w:r>
    </w:p>
    <w:p>
      <w:pPr>
        <w:pStyle w:val="Heading4"/>
      </w:pPr>
      <w:r>
        <w:t>第三条（法第十三条の割合）</w:t>
      </w:r>
    </w:p>
    <w:p>
      <w:r>
        <w:t>法第十三条の割合は、年一割とする。</w:t>
      </w:r>
    </w:p>
    <w:p>
      <w:pPr>
        <w:pStyle w:val="Heading4"/>
      </w:pPr>
      <w:r>
        <w:t>第四条（法第十五条の割合）</w:t>
      </w:r>
    </w:p>
    <w:p>
      <w:r>
        <w:t>法第十五条の割合は、年一割五分とする。</w:t>
      </w:r>
    </w:p>
    <w:p>
      <w:pPr>
        <w:pStyle w:val="Heading4"/>
      </w:pPr>
      <w:r>
        <w:t>第五条（法第十五条の二の割合）</w:t>
      </w:r>
    </w:p>
    <w:p>
      <w:r>
        <w:t>法第十五条の二の割合は、資本金の総額に対し年五分とする。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法附則第四項の政令で定める期間は、五年（二年の据置期間を含む。）とする。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法附則第七項の政令で定める場合は、前項の規定により償還期限を繰り上げて償還を行つた場合とする。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附則（平成三年五月一五日政令第一六三号）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改正後の第二条第一項の規定は、鉄道事業者が平成二年四月一日以後受けた災害についてこの政令の施行の日の前日までに施行した災害復旧事業についても、適用する。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附則（平成三〇年七月二七日政令第二二八号）</w:t>
      </w:r>
    </w:p>
    <w:p>
      <w:pPr>
        <w:pStyle w:val="Heading5"/>
        <w:ind w:left="440"/>
      </w:pPr>
      <w:r>
        <w:t>１</w:t>
      </w:r>
    </w:p>
    <w:p>
      <w:pPr>
        <w:ind w:left="440"/>
      </w:pPr>
      <w:r>
        <w:t>この政令は、鉄道軌道整備法の一部を改正する法律（平成三十年法律第六十三号）の施行の日（平成三十年八月一日）から施行する。</w:t>
      </w:r>
    </w:p>
    <w:p>
      <w:pPr>
        <w:pStyle w:val="Heading5"/>
        <w:ind w:left="440"/>
      </w:pPr>
      <w:r>
        <w:t>２</w:t>
      </w:r>
    </w:p>
    <w:p>
      <w:pPr>
        <w:ind w:left="440"/>
      </w:pPr>
      <w:r>
        <w:t>改正後の鉄道軌道整備法施行令第二条第一項の規定は、鉄道事業者が平成二十八年四月一日からこの政令の施行の日の前日までの間に施行を開始した災害復旧事業についても、適用する。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鉄道軌道整備法施行令</w:t>
      <w:br/>
      <w:tab/>
      <w:t>（昭和三十三年政令第二百五十六号）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鉄道軌道整備法施行令（昭和三十三年政令第二百五十六号）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