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長期信用銀行法第十七条において準用する銀行法第二十六条第二項に規定する区分等を定める命令</w:t>
        <w:br/>
        <w:t>（平成十二年総理府・大蔵省令第四十号）</w:t>
      </w:r>
    </w:p>
    <w:p>
      <w:pPr>
        <w:pStyle w:val="Heading4"/>
      </w:pPr>
      <w:r>
        <w:t>第一条（自己資本の充実の状況に係る区分及びこれに応じた命令）</w:t>
      </w:r>
    </w:p>
    <w:p>
      <w:r>
        <w:t>長期信用銀行法施行令（昭和五十七年政令第四十二号）第五条第一項において読み替えられた長期信用銀行法（以下「法」という。）第十七条において準用する銀行法（以下「銀行法」という。）第二十六条第二項の内閣府令・財務省令で定める長期信用銀行の自己資本の充実の状況に係る区分及び当該区分に応じ内閣府令・財務省令で定める命令は、次条に定める場合を除き、次の表のとおりとする。</w:t>
      </w:r>
    </w:p>
    <w:p>
      <w:pPr>
        <w:pStyle w:val="Heading5"/>
        <w:ind w:left="440"/>
      </w:pPr>
      <w:r>
        <w:t>２</w:t>
      </w:r>
    </w:p>
    <w:p>
      <w:pPr>
        <w:ind w:left="440"/>
      </w:pPr>
      <w:r>
        <w:t>銀行法第二十六条第二項に規定する内閣府令・財務省令で定める長期信用銀行及びその子会社等（銀行法第十四条の二第二号に規定する子会社等をいう。以下この項及び次条において同じ。）の自己資本の充実の状況に係る区分及び当該区分に応じ内閣府令・財務省令で定める命令は、次条に定める場合を除き、次の表のとおりとする。</w:t>
      </w:r>
    </w:p>
    <w:p>
      <w:pPr>
        <w:pStyle w:val="Heading5"/>
        <w:ind w:left="440"/>
      </w:pPr>
      <w:r>
        <w:t>３</w:t>
      </w:r>
    </w:p>
    <w:p>
      <w:pPr>
        <w:ind w:left="440"/>
      </w:pPr>
      <w:r>
        <w:t>前二項の表中「海外営業拠点」とは、外国に所在する支店又は法第十三条の二第一項第七号に掲げる会社であって、その所在地において常勤の役員又は従業員を持つものをいう。</w:t>
      </w:r>
    </w:p>
    <w:p>
      <w:pPr>
        <w:pStyle w:val="Heading5"/>
        <w:ind w:left="440"/>
      </w:pPr>
      <w:r>
        <w:t>４</w:t>
      </w:r>
    </w:p>
    <w:p>
      <w:pPr>
        <w:ind w:left="440"/>
      </w:pPr>
      <w:r>
        <w:t>第一項及び第二項の表中「国際統一基準」とは、銀行法第十四条の二各号に掲げる基準（以下この条において「自己資本比率基準」という。）のうち海外営業拠点（前項に規定する海外営業拠点をいう。次項において同じ。）を有する長期信用銀行に係るものをいう。</w:t>
      </w:r>
    </w:p>
    <w:p>
      <w:pPr>
        <w:pStyle w:val="Heading5"/>
        <w:ind w:left="440"/>
      </w:pPr>
      <w:r>
        <w:t>５</w:t>
      </w:r>
    </w:p>
    <w:p>
      <w:pPr>
        <w:ind w:left="440"/>
      </w:pPr>
      <w:r>
        <w:t>第一項及び第二項の表中「国内基準」とは、自己資本比率基準のうち海外営業拠点を有しない長期信用銀行に係るものをいう。</w:t>
      </w:r>
    </w:p>
    <w:p>
      <w:pPr>
        <w:pStyle w:val="Heading5"/>
        <w:ind w:left="440"/>
      </w:pPr>
      <w:r>
        <w:t>６</w:t>
      </w:r>
    </w:p>
    <w:p>
      <w:pPr>
        <w:ind w:left="440"/>
      </w:pPr>
      <w:r>
        <w:t>第一項の表中「単体自己資本比率」とは、自己資本比率基準のうち銀行法第十四条の二第一号に掲げる基準に係る算式により得られる比率をいう。</w:t>
      </w:r>
    </w:p>
    <w:p>
      <w:pPr>
        <w:pStyle w:val="Heading5"/>
        <w:ind w:left="440"/>
      </w:pPr>
      <w:r>
        <w:t>７</w:t>
      </w:r>
    </w:p>
    <w:p>
      <w:pPr>
        <w:ind w:left="440"/>
      </w:pPr>
      <w:r>
        <w:t>第二項の表中「連結自己資本比率」とは、自己資本比率基準のうち銀行法第十四条の二第二号に掲げる基準に係る算式により得られる比率をいう。</w:t>
      </w:r>
    </w:p>
    <w:p>
      <w:pPr>
        <w:pStyle w:val="Heading4"/>
      </w:pPr>
      <w:r>
        <w:t>第二条</w:t>
      </w:r>
    </w:p>
    <w:p>
      <w:r>
        <w:t>長期信用銀行が、その自己資本比率（前条第六項に規定する単体自己資本比率又は同条第七項に規定する連結自己資本比率をいう。以下この条において同じ。）が当該長期信用銀行又は当該長期信用銀行及びその子会社等が従前に該当していた前条第一項又は第二項の表の区分に係る自己資本比率の範囲を超えて低下したことを知った後、速やかに、その自己資本比率を当該長期信用銀行又は当該長期信用銀行及びその子会社等が該当するこれらの表の区分に係る自己資本比率の範囲を超えて確実に改善するための合理的と認められる計画を金融庁長官に提出した場合には、当該長期信用銀行について、当該区分に応じた命令は、当該長期信用銀行又は当該長期信用銀行及びその子会社等の自己資本比率以上で当該計画の実施後に見込まれる当該長期信用銀行又は当該長期信用銀行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長期信用銀行の貸借対照表又は長期信用銀行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長期信用銀行について、当該区分に応じた命令は、同条第一項又は第二項の表の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又は第二項の表の第三区分以外の区分に該当する長期信用銀行の貸借対照表又は長期信用銀行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長期信用銀行について、当該区分に応じた命令は、同条第一項又は第二項の表の第三区分に掲げる命令を含むものとする。</w:t>
      </w:r>
    </w:p>
    <w:p>
      <w:pPr>
        <w:pStyle w:val="Heading5"/>
        <w:ind w:left="440"/>
      </w:pPr>
      <w:r>
        <w:t>４</w:t>
      </w:r>
    </w:p>
    <w:p>
      <w:pPr>
        <w:ind w:left="440"/>
      </w:pPr>
      <w:r>
        <w:t>長期信用銀行が適格性の認定等に係る合併等（預金保険法（昭和四十六年法律第三十四号）第六十五条に規定する適格性の認定等に係る同法第五十九条第二項に規定する合併等をいう。第四条第四項において同じ。）を行った救済金融機関（同法第五十九条第一項に規定する救済金融機関をいう。第四条第四項第二号において同じ。）又は特定適格性認定等に係る特定合併等（同法第百二十六条の三十一に規定する特定適格性認定等に係る同法第百二十六条の二十八第二項に規定する特定合併等をいう。第四条第四項において同じ。）を行った特定救済金融機関等（同法第百二十六条の二十八第一項に規定する特定救済金融機関等をいう。同号において同じ。）に該当する場合には、当該長期信用銀行について、当該長期信用銀行又は当該長期信用銀行及びその子会社等が該当する前条第一項又は第二項の表の区分に応じた命令は、当該長期信用銀行又は当該長期信用銀行及びその子会社等の自己資本比率以上の自己資本比率に係るこれらの表の区分に掲げる命令とする。</w:t>
      </w:r>
    </w:p>
    <w:p>
      <w:pPr>
        <w:pStyle w:val="Heading4"/>
      </w:pPr>
      <w:r>
        <w:t>第三条（長期信用銀行持株会社及びその子会社等の自己資本の充実に係る区分及びこれに応じた命令）</w:t>
      </w:r>
    </w:p>
    <w:p>
      <w:r>
        <w:t>銀行法第五十二条の三十三第二項の内閣府令・財務省令で定める自己資本の充実の状況に係る区分及び当該区分に応じ内閣府令・財務省令で定める命令は、次条に定める場合を除き、次の表のとおりとする。</w:t>
      </w:r>
    </w:p>
    <w:p>
      <w:pPr>
        <w:pStyle w:val="Heading5"/>
        <w:ind w:left="440"/>
      </w:pPr>
      <w:r>
        <w:t>２</w:t>
      </w:r>
    </w:p>
    <w:p>
      <w:pPr>
        <w:ind w:left="440"/>
      </w:pPr>
      <w:r>
        <w:t>前項の表中「海外営業拠点」とは、外国に所在する支店又は法第十三条の二第一項第七号に掲げる会社（長期信用銀行等の子会社であるものに限る。）であって、その所在地において常勤の役員又は従業員を持つものをいう。</w:t>
      </w:r>
    </w:p>
    <w:p>
      <w:pPr>
        <w:pStyle w:val="Heading5"/>
        <w:ind w:left="440"/>
      </w:pPr>
      <w:r>
        <w:t>３</w:t>
      </w:r>
    </w:p>
    <w:p>
      <w:pPr>
        <w:ind w:left="440"/>
      </w:pPr>
      <w:r>
        <w:t>第一項の表中「第一基準」とは、連結自己資本比率基準（銀行法第五十二条の二十五に規定する基準をいう。次項において同じ。）のうち海外営業拠点（前項に規定する海外営業拠点をいう。次項において同じ。）を有する銀行等を子会社とする長期信用銀行持株会社及びその子会社等に係るものをいう。</w:t>
      </w:r>
    </w:p>
    <w:p>
      <w:pPr>
        <w:pStyle w:val="Heading5"/>
        <w:ind w:left="440"/>
      </w:pPr>
      <w:r>
        <w:t>４</w:t>
      </w:r>
    </w:p>
    <w:p>
      <w:pPr>
        <w:ind w:left="440"/>
      </w:pPr>
      <w:r>
        <w:t>第一項の表中「第二基準」とは、連結自己資本比率基準のうち海外営業拠点を有する銀行等を子会社としていない長期信用銀行持株会社及びその子会社等に係るものをいう。</w:t>
      </w:r>
    </w:p>
    <w:p>
      <w:pPr>
        <w:pStyle w:val="Heading5"/>
        <w:ind w:left="440"/>
      </w:pPr>
      <w:r>
        <w:t>５</w:t>
      </w:r>
    </w:p>
    <w:p>
      <w:pPr>
        <w:ind w:left="440"/>
      </w:pPr>
      <w:r>
        <w:t>この条において「銀行等」とは、銀行又は長期信用銀行をいう。</w:t>
      </w:r>
    </w:p>
    <w:p>
      <w:pPr>
        <w:pStyle w:val="Heading5"/>
        <w:ind w:left="440"/>
      </w:pPr>
      <w:r>
        <w:t>６</w:t>
      </w:r>
    </w:p>
    <w:p>
      <w:pPr>
        <w:ind w:left="440"/>
      </w:pPr>
      <w:r>
        <w:t>この条及び次条において「子会社等」とは、銀行法第五十二条の二十五に規定する子会社等をいう。</w:t>
      </w:r>
    </w:p>
    <w:p>
      <w:pPr>
        <w:pStyle w:val="Heading4"/>
      </w:pPr>
      <w:r>
        <w:t>第四条</w:t>
      </w:r>
    </w:p>
    <w:p>
      <w:r>
        <w:t>長期信用銀行持株会社が、当該長期信用銀行持株会社及びその子会社等の連結自己資本比率が当該長期信用銀行持株会社及びその子会社等が従前に該当していた前条第一項の表の区分に係る連結自己資本比率の範囲を超えて低下したことを知った後、速やかに、その連結自己資本比率を当該長期信用銀行持株会社及びその子会社等が該当する同表の区分に係る連結自己資本比率の範囲を超えて確実に改善するための合理的と認められる計画を金融庁長官に提出した場合には、当該長期信用銀行持株会社について、当該区分に応じた命令は、当該長期信用銀行持株会社及びその子会社等の連結自己資本比率以上で当該計画の実施後に見込まれる当該長期信用銀行持株会社及びその子会社等の連結自己資本比率以下の連結自己資本比率に係る同表の区分（非対象区分を除く。）に掲げる命令とする。</w:t>
      </w:r>
    </w:p>
    <w:p>
      <w:pPr>
        <w:pStyle w:val="Heading5"/>
        <w:ind w:left="440"/>
      </w:pPr>
      <w:r>
        <w:t>２</w:t>
      </w:r>
    </w:p>
    <w:p>
      <w:pPr>
        <w:ind w:left="440"/>
      </w:pPr>
      <w:r>
        <w:t>前条第一項の表の第三区分に該当する長期信用銀行持株会社及びその子会社等に係るこれらの会社について連結して記載した貸借対照表の資産の部に計上されるべき金額（次の各号に掲げる資産については、当該各号に定める価額とする。次項において同じ。）の合計額が当該貸借対照表の負債の部に計上されるべき金額の合計額を上回る場合又は上回ると見込まれる場合には、当該長期信用銀行持株会社について、当該区分に応じた命令は、同表の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の表の第三区分以外の区分に該当する長期信用銀行持株会社及びその子会社等に係るこれらの会社について連結して記載した貸借対照表の資産の部に計上されるべき金額の合計額が当該貸借対照表の負債の部に計上されるべき金額の合計額を下回る場合又は下回ると見込まれる場合には、当該長期信用銀行持株会社について、当該区分に応じた命令は、同表の第三区分に掲げる命令を含むものとする。</w:t>
      </w:r>
    </w:p>
    <w:p>
      <w:pPr>
        <w:pStyle w:val="Heading5"/>
        <w:ind w:left="440"/>
      </w:pPr>
      <w:r>
        <w:t>４</w:t>
      </w:r>
    </w:p>
    <w:p>
      <w:pPr>
        <w:ind w:left="440"/>
      </w:pPr>
      <w:r>
        <w:t>次に掲げる場合のいずれかに該当するときは、長期信用銀行持株会社について、当該長期信用銀行持株会社及びその子会社等が該当する前条第一項の表の区分に応じた命令は、当該長期信用銀行持株会社及びその子会社等の連結自己資本比率以上の連結自己資本比率に係る同表の区分に掲げる命令とする。</w:t>
      </w:r>
    </w:p>
    <w:p>
      <w:pPr>
        <w:pStyle w:val="Heading6"/>
        <w:ind w:left="880"/>
      </w:pPr>
      <w:r>
        <w:t>一</w:t>
      </w:r>
    </w:p>
    <w:p>
      <w:pPr>
        <w:ind w:left="880"/>
      </w:pPr>
      <w:r>
        <w:t>当該長期信用銀行持株会社が適格性の認定等に係る合併等を行った預金保険法第五十九条第一項に規定する救済銀行持株会社等又は特定適格性認定等に係る特定合併等を行った同法第百二十六条の二十八第一項に規定する特定救済持株会社等に該当する場合</w:t>
      </w:r>
    </w:p>
    <w:p>
      <w:pPr>
        <w:pStyle w:val="Heading6"/>
        <w:ind w:left="880"/>
      </w:pPr>
      <w:r>
        <w:t>二</w:t>
      </w:r>
    </w:p>
    <w:p>
      <w:pPr>
        <w:ind w:left="880"/>
      </w:pPr>
      <w:r>
        <w:t>当該長期信用銀行持株会社の子会社が適格性の認定等に係る合併等を行った救済金融機関又は特定適格性認定等に係る特定合併等を行った特定救済金融機関等に該当する場合</w:t>
      </w:r>
    </w:p>
    <w:p>
      <w:pPr>
        <w:pStyle w:val="Heading4"/>
      </w:pPr>
      <w:r>
        <w:t>第五条（届出事項）</w:t>
      </w:r>
    </w:p>
    <w:p>
      <w:r>
        <w:t>銀行法第五十三条第一項第八号に規定する内閣府令・財務省令で定める場合は、次に掲げる場合とする。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pPr>
        <w:pStyle w:val="Heading4"/>
      </w:pPr>
      <w:r>
        <w:t>第六条（財務大臣への通知）</w:t>
      </w:r>
    </w:p>
    <w:p>
      <w:r>
        <w:t>銀行法第五十七条の六に規定する内閣府令・財務省令で定めるものは、前条各号に掲げる場合に該当するときにする届出とする。</w:t>
      </w:r>
    </w:p>
    <w:p>
      <w:r>
        <w:br w:type="page"/>
      </w:r>
    </w:p>
    <w:p>
      <w:pPr>
        <w:pStyle w:val="Heading1"/>
      </w:pPr>
      <w:r>
        <w:t>附　則</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則（平成一四年三月二八日内閣府・財務省令第一号）</w:t>
      </w:r>
    </w:p>
    <w:p>
      <w:r>
        <w:t>この命令は、平成十四年四月一日から施行する。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則（平成一八年三月三〇日内閣府・財務省令第四号）</w:t>
      </w:r>
    </w:p>
    <w:p>
      <w:r>
        <w:t>この命令は、銀行法等の一部を改正する法律の施行の日（平成十八年四月一日）から施行する。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長期信用銀行法第十七条において準用する銀行法第二十六条第二項に規定する区分等を定める命令</w:t>
      <w:br/>
      <w:tab/>
      <w:t>（平成十二年総理府・大蔵省令第四十号）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長期信用銀行法第十七条において準用する銀行法第二十六条第二項に規定する区分等を定める命令（平成十二年総理府・大蔵省令第四十号）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