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長期優良住宅の普及の促進に関する法律施行令</w:t>
        <w:br/>
        <w:t>（平成二十一年政令第二十四号）</w:t>
      </w:r>
    </w:p>
    <w:p>
      <w:pPr>
        <w:pStyle w:val="Heading4"/>
      </w:pPr>
      <w:r>
        <w:t>第一条（住宅の構造耐力上主要な部分）</w:t>
      </w:r>
    </w:p>
    <w:p>
      <w:r>
        <w:t>長期優良住宅の普及の促進に関する法律（以下「法」という。）第二条第三項第一号の住宅の構造耐力上主要な部分として政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荷重、風圧、土圧若しくは水圧又は地震その他の震動若しくは衝撃を支えるものとする。</w:t>
      </w:r>
    </w:p>
    <w:p>
      <w:pPr>
        <w:pStyle w:val="Heading4"/>
      </w:pPr>
      <w:r>
        <w:t>第二条（住宅の雨水の浸入を防止する部分）</w:t>
      </w:r>
    </w:p>
    <w:p>
      <w:r>
        <w:t>法第二条第三項第二号の住宅の雨水の浸入を防止する部分として政令で定めるものは、住宅の屋根若しくは外壁又はこれらの開口部に設ける戸、枠その他の建具とする。</w:t>
      </w:r>
    </w:p>
    <w:p>
      <w:pPr>
        <w:pStyle w:val="Heading4"/>
      </w:pPr>
      <w:r>
        <w:t>第三条（住宅の給水又は排水の設備）</w:t>
      </w:r>
    </w:p>
    <w:p>
      <w:r>
        <w:t>法第二条第三項第三号の住宅の給水又は排水の設備で政令で定めるものは、住宅に設ける給水又は排水のための配管設備とする。</w:t>
      </w:r>
    </w:p>
    <w:p>
      <w:pPr>
        <w:pStyle w:val="Heading4"/>
      </w:pPr>
      <w:r>
        <w:t>第四条（都道府県知事が所管行政庁となる住宅）</w:t>
      </w:r>
    </w:p>
    <w:p>
      <w:r>
        <w:t>法第二条第六項ただし書の政令で定める住宅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である住宅とする。</w:t>
      </w:r>
    </w:p>
    <w:p>
      <w:pPr>
        <w:pStyle w:val="Heading5"/>
        <w:ind w:left="440"/>
      </w:pPr>
      <w:r>
        <w:t>２</w:t>
      </w:r>
    </w:p>
    <w:p>
      <w:pPr>
        <w:ind w:left="440"/>
      </w:pPr>
      <w:r>
        <w:t>法第二条第六項ただし書の政令で定める住宅のうち建築基準法第九十七条の三第一項の規定により建築主事を置く特別区の区域内のものは、次に掲げる住宅とする。</w:t>
      </w:r>
    </w:p>
    <w:p>
      <w:pPr>
        <w:pStyle w:val="Heading6"/>
        <w:ind w:left="880"/>
      </w:pPr>
      <w:r>
        <w:t>一</w:t>
      </w:r>
    </w:p>
    <w:p>
      <w:pPr>
        <w:ind w:left="880"/>
      </w:pPr>
      <w:r>
        <w:t>延べ面積（建築基準法施行令（昭和二十五年政令第三百三十八号）第二条第一項第四号に規定する延べ面積をいう。）が一万平方メートルを超える住宅</w:t>
      </w:r>
    </w:p>
    <w:p>
      <w:pPr>
        <w:pStyle w:val="Heading6"/>
        <w:ind w:left="880"/>
      </w:pPr>
      <w:r>
        <w:t>二</w:t>
      </w:r>
    </w:p>
    <w:p>
      <w:pPr>
        <w:ind w:left="880"/>
      </w:pPr>
      <w:r>
        <w:t>その新築、改築、増築、移転又は用途の変更に関して、法律並びにこれに基づく命令及び条例の規定により都知事の許可を必要とする住宅（地方自治法（昭和二十二年法律第六十七号）第二百五十二条の十七の二第一項の規定により当該許可に関する事務を特別区が処理することとされた場合における当該住宅を除く。）</w:t>
      </w:r>
    </w:p>
    <w:p>
      <w:r>
        <w:br w:type="page"/>
      </w:r>
    </w:p>
    <w:p>
      <w:pPr>
        <w:pStyle w:val="Heading1"/>
      </w:pPr>
      <w:r>
        <w:t>附　則</w:t>
      </w:r>
    </w:p>
    <w:p>
      <w:r>
        <w:t>この政令は、法の施行の日（平成二十一年六月四日）から施行する。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長期優良住宅の普及の促進に関する法律施行令</w:t>
      <w:br/>
      <w:tab/>
      <w:t>（平成二十一年政令第二十四号）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長期優良住宅の普及の促進に関する法律施行令（平成二十一年政令第二十四号）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