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関税暫定措置法施行令第三十二条第二項第二号の農林水産省令で定める方法を定める省令</w:t>
        <w:br/>
        <w:t>（平成三十年農林水産省令第四十八号）</w:t>
      </w:r>
    </w:p>
    <w:p>
      <w:r>
        <w:t>関税暫定措置法施行令第三十二条第二項第二号の農林水産省令で定める方法は、次の表の上欄に掲げる種類の添加物を下欄に掲げる割合以上均一に混合することとする。</w:t>
      </w:r>
    </w:p>
    <w:p>
      <w:r>
        <w:br w:type="page"/>
      </w:r>
    </w:p>
    <w:p>
      <w:pPr>
        <w:pStyle w:val="Heading1"/>
      </w:pPr>
      <w:r>
        <w:t>附　則</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関税暫定措置法施行令第三十二条第二項第二号の農林水産省令で定める方法を定める省令</w:t>
      <w:br/>
      <w:tab/>
      <w:t>（平成三十年農林水産省令第四十八号）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関税暫定措置法施行令第三十二条第二項第二号の農林水産省令で定める方法を定める省令（平成三十年農林水産省令第四十八号）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