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関税暫定措置法施行令第二条第一項又は第二項の証明書の発給に関する省令</w:t>
        <w:br/>
        <w:t>（平成七年農林水産省令第十八号）</w:t>
      </w:r>
    </w:p>
    <w:p>
      <w:pPr>
        <w:pStyle w:val="Heading4"/>
      </w:pPr>
      <w:r>
        <w:t>第一条（証明書の交付申請）</w:t>
      </w:r>
    </w:p>
    <w:p>
      <w:r>
        <w:t>関税暫定措置法施行令第二条第一項又は第二項の証明書の交付を受けようとする者は、次の各号の区分に応じ、当該各号に掲げる書類を農林水産大臣に提出しなければならない。</w:t>
      </w:r>
    </w:p>
    <w:p>
      <w:pPr>
        <w:pStyle w:val="ListBullet"/>
        <w:ind w:left="880"/>
      </w:pPr>
      <w:r>
        <w:t>一</w:t>
        <w:br/>
        <w:t>輸出貨物の製造に使用する原材料として小麦又は大麦を輸入しようとする場合</w:t>
      </w:r>
    </w:p>
    <w:p>
      <w:pPr>
        <w:pStyle w:val="ListBullet"/>
        <w:ind w:left="880"/>
      </w:pPr>
      <w:r>
        <w:t>二</w:t>
        <w:br/>
        <w:t>国際観光ホテル整備法（昭和二十四年法律第二百七十九号）第三条の登録を受けたホテル業を営む者が、その登録に係るホテルにおいて使用する小麦粉を輸入しようとする場合</w:t>
      </w:r>
    </w:p>
    <w:p>
      <w:pPr>
        <w:pStyle w:val="ListBullet"/>
        <w:ind w:left="880"/>
      </w:pPr>
      <w:r>
        <w:t>三</w:t>
        <w:br/>
        <w:t>輸出貨物の製造に使用する原材料として米を輸入しようとする場合</w:t>
      </w:r>
    </w:p>
    <w:p>
      <w:pPr>
        <w:pStyle w:val="ListBullet"/>
        <w:ind w:left="880"/>
      </w:pPr>
      <w:r>
        <w:t>四</w:t>
        <w:br/>
        <w:t>繊維製品染色糊製造業者又は繊維製品染色加工業者を直接又は間接の構成員とする事業協同組合又は協同組合連合会が、繊維製品染色糊の製造に使用する原材料としてもち米の粉又はミールを輸入しようとする場合</w:t>
      </w:r>
    </w:p>
    <w:p>
      <w:pPr>
        <w:pStyle w:val="ListBullet"/>
        <w:ind w:left="880"/>
      </w:pPr>
      <w:r>
        <w:t>五</w:t>
        <w:br/>
        <w:t>特定朝食シリアルの製造に使用する原材料として粒状の米であらかじめ加熱による調理その他の調製をしたもの（米を加熱による調理及び調味をし、乾燥後圧ぺんしたものに限る。以下「米の調理調整品」という。）を輸入しようとする場合</w:t>
      </w:r>
    </w:p>
    <w:p>
      <w:pPr>
        <w:pStyle w:val="Heading4"/>
      </w:pPr>
      <w:r>
        <w:t>第二条（証明書の発給）</w:t>
      </w:r>
    </w:p>
    <w:p>
      <w:r>
        <w:t>農林水産大臣は、前条の規定による申請を受けた場合において、証明書を発給することを適当と認めるときは、当該申請に係る申請書二通のうち一通に、証明する旨を記入し、これを証明書として当該申請をした者に交付するものとする。</w:t>
      </w:r>
    </w:p>
    <w:p>
      <w:pPr>
        <w:pStyle w:val="Heading5"/>
        <w:ind w:left="440"/>
      </w:pPr>
      <w:r>
        <w:t>２</w:t>
      </w:r>
    </w:p>
    <w:p>
      <w:pPr>
        <w:ind w:left="440"/>
      </w:pPr>
      <w:r>
        <w:t>農林水産大臣は、前条の規定による申請を受けた場合において、証明書を発給することを不適当と認めるときは、遅滞なく、その旨を当該申請をした者に通知するものとする。</w:t>
      </w:r>
    </w:p>
    <w:p>
      <w:pPr>
        <w:pStyle w:val="Heading5"/>
        <w:ind w:left="440"/>
      </w:pPr>
      <w:r>
        <w:t>３</w:t>
      </w:r>
    </w:p>
    <w:p>
      <w:pPr>
        <w:ind w:left="440"/>
      </w:pPr>
      <w:r>
        <w:t>農林水産大臣は、前条の規定による申請をした者に対し必要な書類の提出を求め、又はその者から必要な事項について説明を求めることができる。</w:t>
      </w:r>
    </w:p>
    <w:p>
      <w:pPr>
        <w:pStyle w:val="Heading5"/>
        <w:ind w:left="440"/>
      </w:pPr>
      <w:r>
        <w:t>４</w:t>
      </w:r>
    </w:p>
    <w:p>
      <w:pPr>
        <w:ind w:left="440"/>
      </w:pPr>
      <w:r>
        <w:t>第一項の規定による証明書の交付は、当該申請を農林水産大臣が受理した日から起算して十五日を経過した日までにするものとする。</w:t>
      </w:r>
    </w:p>
    <w:p>
      <w:r>
        <w:br w:type="page"/>
      </w:r>
    </w:p>
    <w:p>
      <w:pPr>
        <w:pStyle w:val="Heading1"/>
      </w:pPr>
      <w:r>
        <w:t>附　則</w:t>
      </w:r>
    </w:p>
    <w:p>
      <w:r>
        <w:t>この省令は、平成七年四月一日から施行する。</w:t>
      </w:r>
    </w:p>
    <w:p>
      <w:r>
        <w:br w:type="page"/>
      </w:r>
    </w:p>
    <w:p>
      <w:pPr>
        <w:pStyle w:val="Heading1"/>
      </w:pPr>
      <w:r>
        <w:t>附則（平成一一年三月三一日農林水産省令第二四号）</w:t>
      </w:r>
    </w:p>
    <w:p>
      <w:r>
        <w:t>この省令は、平成十一年四月一日から施行する。</w:t>
      </w:r>
    </w:p>
    <w:p>
      <w:r>
        <w:br w:type="page"/>
      </w:r>
    </w:p>
    <w:p>
      <w:pPr>
        <w:pStyle w:val="Heading1"/>
      </w:pPr>
      <w:r>
        <w:t>附則（令和二年一二月二一日農林水産省令第八三号）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関税暫定措置法施行令第二条第一項又は第二項の証明書の発給に関する省令</w:t>
      <w:br/>
      <w:tab/>
      <w:t>（平成七年農林水産省令第十八号）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関税暫定措置法施行令第二条第一項又は第二項の証明書の発給に関する省令（平成七年農林水産省令第十八号）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