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関税等不服審査会令</w:t>
        <w:br/>
        <w:t>（平成十二年政令第二百七十七号）</w:t>
      </w:r>
    </w:p>
    <w:p>
      <w:pPr>
        <w:pStyle w:val="Heading4"/>
      </w:pPr>
      <w:r>
        <w:t>第一条（組織）</w:t>
      </w:r>
    </w:p>
    <w:p>
      <w:r>
        <w:t>関税等不服審査会（以下「審査会」という。）は、委員二十人以内で組織する。</w:t>
      </w:r>
    </w:p>
    <w:p>
      <w:pPr>
        <w:pStyle w:val="Heading4"/>
      </w:pPr>
      <w:r>
        <w:t>第二条（委員の任命）</w:t>
      </w:r>
    </w:p>
    <w:p>
      <w:r>
        <w:t>委員は、学識経験のある者のうちから、財務大臣が任命する。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審査会に、関税・知的財産分科会（以下「分科会」という。）を置く。</w:t>
      </w:r>
    </w:p>
    <w:p>
      <w:pPr>
        <w:pStyle w:val="Heading5"/>
        <w:ind w:left="440"/>
      </w:pPr>
      <w:r>
        <w:t>２</w:t>
      </w:r>
    </w:p>
    <w:p>
      <w:pPr>
        <w:ind w:left="440"/>
      </w:pPr>
      <w:r>
        <w:t>分科会は、審査会の所掌事務のうち、次に掲げる処分についての審査請求に関する事項を処理することをつかさどる。</w:t>
      </w:r>
    </w:p>
    <w:p>
      <w:pPr>
        <w:pStyle w:val="Heading6"/>
        <w:ind w:left="880"/>
      </w:pPr>
      <w:r>
        <w:t>一</w:t>
      </w:r>
    </w:p>
    <w:p>
      <w:pPr>
        <w:ind w:left="880"/>
      </w:pPr>
      <w:r>
        <w:t>関税法（昭和二十九年法律第六十一号）若しくは他の関税に関する法律又は通関業法（昭和四十二年法律第百二十二号）の規定による財務大臣又は税関長の処分（関税法第六十九条の二第三項（輸出してはならない貨物）又は第六十九条の十一第三項（輸入してはならない貨物）の規定による通知を除く。）</w:t>
      </w:r>
    </w:p>
    <w:p>
      <w:pPr>
        <w:pStyle w:val="Heading6"/>
        <w:ind w:left="880"/>
      </w:pPr>
      <w:r>
        <w:t>二</w:t>
      </w:r>
    </w:p>
    <w:p>
      <w:pPr>
        <w:ind w:left="880"/>
      </w:pPr>
      <w:r>
        <w:t>とん税法（昭和三十二年法律第三十七号）又は特別とん税法（昭和三十二年法律第三十八号）の規定によるとん税又は特別とん税の確定又は徴収に関する処分</w:t>
      </w:r>
    </w:p>
    <w:p>
      <w:pPr>
        <w:pStyle w:val="Heading5"/>
        <w:ind w:left="440"/>
      </w:pPr>
      <w:r>
        <w:t>３</w:t>
      </w:r>
    </w:p>
    <w:p>
      <w:pPr>
        <w:ind w:left="440"/>
      </w:pPr>
      <w:r>
        <w:t>分科会に属すべき委員は、財務大臣が指名する。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審査会は、その定めるところにより、分科会の議決をもって審査会の議決とすることができる。</w:t>
      </w:r>
    </w:p>
    <w:p>
      <w:pPr>
        <w:pStyle w:val="Heading4"/>
      </w:pPr>
      <w:r>
        <w:t>第六条（部会）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第七条（議事）</w:t>
      </w:r>
    </w:p>
    <w:p>
      <w:r>
        <w:t>審査会は、委員の三分の一以上が出席しなければ、会議を開き、議決することができない。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5"/>
        <w:ind w:left="440"/>
      </w:pPr>
      <w:r>
        <w:t>４</w:t>
      </w:r>
    </w:p>
    <w:p>
      <w:pPr>
        <w:ind w:left="440"/>
      </w:pPr>
      <w:r>
        <w:t>委員は、自己の利害に関係する議事に参与することができない。</w:t>
      </w:r>
    </w:p>
    <w:p>
      <w:pPr>
        <w:pStyle w:val="Heading4"/>
      </w:pPr>
      <w:r>
        <w:t>第八条（庶務）</w:t>
      </w:r>
    </w:p>
    <w:p>
      <w:r>
        <w:t>審査会の庶務は、財務省関税局業務課において処理する。</w:t>
      </w:r>
    </w:p>
    <w:p>
      <w:pPr>
        <w:pStyle w:val="Heading4"/>
      </w:pPr>
      <w:r>
        <w:t>第九条（雑則）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則（平成一三年三月三〇日政令第一一二号）</w:t>
      </w:r>
    </w:p>
    <w:p>
      <w:r>
        <w:t>この政令は、平成十三年四月一日から施行する。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則（平成二八年三月三一日政令第一六八号）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関税等不服審査会令</w:t>
      <w:br/>
      <w:tab/>
      <w:t>（平成十二年政令第二百七十七号）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関税等不服審査会令（平成十二年政令第二百七十七号）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